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bookmarkStart w:id="0" w:name="_GoBack"/>
      <w:bookmarkEnd w:id="0"/>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p>
    <w:tbl>
      <w:tblPr>
        <w:tblStyle w:val="TableGrid"/>
        <w:tblpPr w:leftFromText="180" w:rightFromText="180" w:vertAnchor="text" w:horzAnchor="margin" w:tblpXSpec="center" w:tblpY="198"/>
        <w:tblW w:w="9790" w:type="dxa"/>
        <w:tblLook w:val="04A0" w:firstRow="1" w:lastRow="0" w:firstColumn="1" w:lastColumn="0" w:noHBand="0" w:noVBand="1"/>
      </w:tblPr>
      <w:tblGrid>
        <w:gridCol w:w="2532"/>
        <w:gridCol w:w="1432"/>
        <w:gridCol w:w="5826"/>
      </w:tblGrid>
      <w:tr w:rsidR="008C0343" w:rsidTr="00D570E8">
        <w:tc>
          <w:tcPr>
            <w:tcW w:w="2532" w:type="dxa"/>
          </w:tcPr>
          <w:p w:rsidR="008C0343" w:rsidRPr="00506337" w:rsidRDefault="008C0343" w:rsidP="008C0343">
            <w:pPr>
              <w:rPr>
                <w:b/>
                <w:sz w:val="24"/>
                <w:szCs w:val="24"/>
              </w:rPr>
            </w:pPr>
            <w:r w:rsidRPr="00506337">
              <w:rPr>
                <w:b/>
                <w:sz w:val="24"/>
                <w:szCs w:val="24"/>
              </w:rPr>
              <w:t>Policy Title:</w:t>
            </w:r>
          </w:p>
        </w:tc>
        <w:tc>
          <w:tcPr>
            <w:tcW w:w="7258" w:type="dxa"/>
            <w:gridSpan w:val="2"/>
          </w:tcPr>
          <w:p w:rsidR="008C0343" w:rsidRPr="00933E73" w:rsidRDefault="007A375A" w:rsidP="008C0343">
            <w:pPr>
              <w:rPr>
                <w:sz w:val="24"/>
                <w:szCs w:val="24"/>
              </w:rPr>
            </w:pPr>
            <w:r>
              <w:rPr>
                <w:sz w:val="24"/>
                <w:szCs w:val="24"/>
              </w:rPr>
              <w:t>ADMISSIONS</w:t>
            </w:r>
            <w:r w:rsidRPr="00933E73">
              <w:rPr>
                <w:sz w:val="24"/>
                <w:szCs w:val="24"/>
              </w:rPr>
              <w:t xml:space="preserve"> POLICY</w:t>
            </w:r>
          </w:p>
        </w:tc>
      </w:tr>
      <w:tr w:rsidR="008C0343" w:rsidTr="00D570E8">
        <w:tc>
          <w:tcPr>
            <w:tcW w:w="2532" w:type="dxa"/>
          </w:tcPr>
          <w:p w:rsidR="008C0343" w:rsidRPr="00506337" w:rsidRDefault="008C0343" w:rsidP="00D570E8">
            <w:pPr>
              <w:rPr>
                <w:b/>
                <w:sz w:val="24"/>
                <w:szCs w:val="24"/>
              </w:rPr>
            </w:pPr>
            <w:r w:rsidRPr="00506337">
              <w:rPr>
                <w:b/>
                <w:sz w:val="24"/>
                <w:szCs w:val="24"/>
              </w:rPr>
              <w:t xml:space="preserve">Policy </w:t>
            </w:r>
            <w:r w:rsidR="00D570E8" w:rsidRPr="00506337">
              <w:rPr>
                <w:b/>
                <w:sz w:val="24"/>
                <w:szCs w:val="24"/>
              </w:rPr>
              <w:t>Code</w:t>
            </w:r>
            <w:r w:rsidRPr="00506337">
              <w:rPr>
                <w:b/>
                <w:sz w:val="24"/>
                <w:szCs w:val="24"/>
              </w:rPr>
              <w:t>:</w:t>
            </w:r>
          </w:p>
        </w:tc>
        <w:tc>
          <w:tcPr>
            <w:tcW w:w="7258" w:type="dxa"/>
            <w:gridSpan w:val="2"/>
          </w:tcPr>
          <w:p w:rsidR="008C0343" w:rsidRPr="00933E73" w:rsidRDefault="000B43BF" w:rsidP="008C0343">
            <w:pPr>
              <w:rPr>
                <w:sz w:val="24"/>
                <w:szCs w:val="24"/>
              </w:rPr>
            </w:pPr>
            <w:r w:rsidRPr="000B43BF">
              <w:rPr>
                <w:sz w:val="24"/>
                <w:szCs w:val="24"/>
              </w:rPr>
              <w:t>OPSP02</w:t>
            </w:r>
          </w:p>
        </w:tc>
      </w:tr>
      <w:tr w:rsidR="008C0343" w:rsidTr="00D570E8">
        <w:tc>
          <w:tcPr>
            <w:tcW w:w="2532" w:type="dxa"/>
          </w:tcPr>
          <w:p w:rsidR="008C0343" w:rsidRPr="00506337" w:rsidRDefault="008C0343" w:rsidP="008C0343">
            <w:pPr>
              <w:rPr>
                <w:b/>
                <w:sz w:val="24"/>
                <w:szCs w:val="24"/>
              </w:rPr>
            </w:pPr>
            <w:r w:rsidRPr="00506337">
              <w:rPr>
                <w:b/>
                <w:sz w:val="24"/>
                <w:szCs w:val="24"/>
              </w:rPr>
              <w:t>Applies to:</w:t>
            </w:r>
          </w:p>
        </w:tc>
        <w:tc>
          <w:tcPr>
            <w:tcW w:w="7258" w:type="dxa"/>
            <w:gridSpan w:val="2"/>
          </w:tcPr>
          <w:p w:rsidR="008C0343" w:rsidRPr="00933E73" w:rsidRDefault="00933E73" w:rsidP="008C0343">
            <w:pPr>
              <w:rPr>
                <w:sz w:val="24"/>
                <w:szCs w:val="24"/>
              </w:rPr>
            </w:pPr>
            <w:r w:rsidRPr="00933E73">
              <w:rPr>
                <w:sz w:val="24"/>
                <w:szCs w:val="24"/>
              </w:rPr>
              <w:t>Schools</w:t>
            </w:r>
          </w:p>
        </w:tc>
      </w:tr>
      <w:tr w:rsidR="008C0343" w:rsidTr="00D570E8">
        <w:tc>
          <w:tcPr>
            <w:tcW w:w="2532" w:type="dxa"/>
          </w:tcPr>
          <w:p w:rsidR="008C0343" w:rsidRPr="00506337" w:rsidRDefault="008C0343" w:rsidP="008C0343">
            <w:pPr>
              <w:rPr>
                <w:b/>
                <w:sz w:val="24"/>
                <w:szCs w:val="24"/>
              </w:rPr>
            </w:pPr>
            <w:r w:rsidRPr="00506337">
              <w:rPr>
                <w:b/>
                <w:sz w:val="24"/>
                <w:szCs w:val="24"/>
              </w:rPr>
              <w:t>Date Reviewed:</w:t>
            </w:r>
          </w:p>
        </w:tc>
        <w:tc>
          <w:tcPr>
            <w:tcW w:w="7258" w:type="dxa"/>
            <w:gridSpan w:val="2"/>
          </w:tcPr>
          <w:p w:rsidR="008C0343" w:rsidRPr="00933E73" w:rsidRDefault="003106C0" w:rsidP="008C0343">
            <w:pPr>
              <w:rPr>
                <w:sz w:val="24"/>
                <w:szCs w:val="24"/>
              </w:rPr>
            </w:pPr>
            <w:r>
              <w:rPr>
                <w:sz w:val="24"/>
                <w:szCs w:val="24"/>
              </w:rPr>
              <w:t xml:space="preserve">September </w:t>
            </w:r>
            <w:r w:rsidR="007A375A">
              <w:rPr>
                <w:sz w:val="24"/>
                <w:szCs w:val="24"/>
              </w:rPr>
              <w:t>2023</w:t>
            </w:r>
          </w:p>
        </w:tc>
      </w:tr>
      <w:tr w:rsidR="008C0343" w:rsidTr="00D570E8">
        <w:tc>
          <w:tcPr>
            <w:tcW w:w="2532" w:type="dxa"/>
          </w:tcPr>
          <w:p w:rsidR="008C0343" w:rsidRPr="00506337" w:rsidRDefault="008C0343" w:rsidP="008C0343">
            <w:pPr>
              <w:rPr>
                <w:b/>
                <w:sz w:val="24"/>
                <w:szCs w:val="24"/>
              </w:rPr>
            </w:pPr>
            <w:r w:rsidRPr="00506337">
              <w:rPr>
                <w:b/>
                <w:sz w:val="24"/>
                <w:szCs w:val="24"/>
              </w:rPr>
              <w:t>Next Update Due:</w:t>
            </w:r>
          </w:p>
        </w:tc>
        <w:tc>
          <w:tcPr>
            <w:tcW w:w="7258" w:type="dxa"/>
            <w:gridSpan w:val="2"/>
          </w:tcPr>
          <w:p w:rsidR="008C0343" w:rsidRPr="00933E73" w:rsidRDefault="003106C0" w:rsidP="008C0343">
            <w:pPr>
              <w:rPr>
                <w:sz w:val="24"/>
                <w:szCs w:val="24"/>
              </w:rPr>
            </w:pPr>
            <w:r>
              <w:rPr>
                <w:sz w:val="24"/>
                <w:szCs w:val="24"/>
              </w:rPr>
              <w:t xml:space="preserve">September </w:t>
            </w:r>
            <w:r w:rsidR="007A375A">
              <w:rPr>
                <w:sz w:val="24"/>
                <w:szCs w:val="24"/>
              </w:rPr>
              <w:t>2024</w:t>
            </w:r>
          </w:p>
        </w:tc>
      </w:tr>
      <w:tr w:rsidR="008C0343" w:rsidTr="00D570E8">
        <w:tc>
          <w:tcPr>
            <w:tcW w:w="2532" w:type="dxa"/>
          </w:tcPr>
          <w:p w:rsidR="008C0343" w:rsidRPr="00506337" w:rsidRDefault="008C0343" w:rsidP="00506337">
            <w:pPr>
              <w:rPr>
                <w:b/>
                <w:sz w:val="24"/>
                <w:szCs w:val="24"/>
              </w:rPr>
            </w:pPr>
            <w:r w:rsidRPr="00506337">
              <w:rPr>
                <w:b/>
                <w:sz w:val="24"/>
                <w:szCs w:val="24"/>
              </w:rPr>
              <w:t xml:space="preserve">Policy </w:t>
            </w:r>
            <w:r w:rsidR="00506337" w:rsidRPr="00506337">
              <w:rPr>
                <w:b/>
                <w:sz w:val="24"/>
                <w:szCs w:val="24"/>
              </w:rPr>
              <w:t>Lead</w:t>
            </w:r>
            <w:r w:rsidRPr="00506337">
              <w:rPr>
                <w:b/>
                <w:sz w:val="24"/>
                <w:szCs w:val="24"/>
              </w:rPr>
              <w:t>:</w:t>
            </w:r>
          </w:p>
        </w:tc>
        <w:tc>
          <w:tcPr>
            <w:tcW w:w="7258" w:type="dxa"/>
            <w:gridSpan w:val="2"/>
          </w:tcPr>
          <w:p w:rsidR="008C0343" w:rsidRPr="00933E73" w:rsidRDefault="00933E73" w:rsidP="008C0343">
            <w:pPr>
              <w:rPr>
                <w:sz w:val="24"/>
                <w:szCs w:val="24"/>
              </w:rPr>
            </w:pPr>
            <w:r w:rsidRPr="00933E73">
              <w:rPr>
                <w:sz w:val="24"/>
                <w:szCs w:val="24"/>
              </w:rPr>
              <w:t>Simon Brown</w:t>
            </w:r>
          </w:p>
        </w:tc>
      </w:tr>
      <w:tr w:rsidR="00506337" w:rsidTr="00D570E8">
        <w:tc>
          <w:tcPr>
            <w:tcW w:w="2532" w:type="dxa"/>
          </w:tcPr>
          <w:p w:rsidR="00506337" w:rsidRPr="00506337" w:rsidRDefault="00B576D4" w:rsidP="00506337">
            <w:pPr>
              <w:rPr>
                <w:b/>
                <w:sz w:val="24"/>
                <w:szCs w:val="24"/>
              </w:rPr>
            </w:pPr>
            <w:r>
              <w:rPr>
                <w:b/>
                <w:sz w:val="24"/>
                <w:szCs w:val="24"/>
              </w:rPr>
              <w:t>Policy Sponsor</w:t>
            </w:r>
            <w:r w:rsidR="00506337" w:rsidRPr="00506337">
              <w:rPr>
                <w:b/>
                <w:sz w:val="24"/>
                <w:szCs w:val="24"/>
              </w:rPr>
              <w:t>:</w:t>
            </w:r>
          </w:p>
        </w:tc>
        <w:tc>
          <w:tcPr>
            <w:tcW w:w="7258" w:type="dxa"/>
            <w:gridSpan w:val="2"/>
          </w:tcPr>
          <w:p w:rsidR="00506337" w:rsidRPr="00933E73" w:rsidRDefault="000B43BF" w:rsidP="008C0343">
            <w:pPr>
              <w:rPr>
                <w:sz w:val="24"/>
                <w:szCs w:val="24"/>
              </w:rPr>
            </w:pPr>
            <w:r>
              <w:rPr>
                <w:sz w:val="24"/>
                <w:szCs w:val="24"/>
              </w:rPr>
              <w:t>Richard Wilkins</w:t>
            </w:r>
          </w:p>
        </w:tc>
      </w:tr>
      <w:tr w:rsidR="008C0343" w:rsidTr="00916462">
        <w:tc>
          <w:tcPr>
            <w:tcW w:w="2532" w:type="dxa"/>
            <w:vMerge w:val="restart"/>
          </w:tcPr>
          <w:p w:rsidR="008C0343" w:rsidRPr="007A375A" w:rsidRDefault="007A375A" w:rsidP="008C0343">
            <w:pPr>
              <w:rPr>
                <w:b/>
                <w:sz w:val="24"/>
                <w:szCs w:val="24"/>
              </w:rPr>
            </w:pPr>
            <w:r w:rsidRPr="007A375A">
              <w:rPr>
                <w:b/>
                <w:sz w:val="24"/>
                <w:szCs w:val="24"/>
              </w:rPr>
              <w:t>Cross Reference:</w:t>
            </w:r>
          </w:p>
        </w:tc>
        <w:tc>
          <w:tcPr>
            <w:tcW w:w="1432" w:type="dxa"/>
          </w:tcPr>
          <w:p w:rsidR="008C0343" w:rsidRPr="0001248E" w:rsidRDefault="000B43BF" w:rsidP="008C0343">
            <w:r w:rsidRPr="0001248E">
              <w:t>OPSP06</w:t>
            </w:r>
          </w:p>
        </w:tc>
        <w:tc>
          <w:tcPr>
            <w:tcW w:w="5826" w:type="dxa"/>
          </w:tcPr>
          <w:p w:rsidR="008C0343" w:rsidRPr="000B43BF" w:rsidRDefault="00100728" w:rsidP="008C0343">
            <w:r w:rsidRPr="000B43BF">
              <w:t>Attendance Policy</w:t>
            </w:r>
          </w:p>
        </w:tc>
      </w:tr>
      <w:tr w:rsidR="008C0343" w:rsidTr="00916462">
        <w:tc>
          <w:tcPr>
            <w:tcW w:w="2532" w:type="dxa"/>
            <w:vMerge/>
          </w:tcPr>
          <w:p w:rsidR="008C0343" w:rsidRPr="00506337" w:rsidRDefault="008C0343" w:rsidP="008C0343">
            <w:pPr>
              <w:rPr>
                <w:sz w:val="24"/>
                <w:szCs w:val="24"/>
              </w:rPr>
            </w:pPr>
          </w:p>
        </w:tc>
        <w:tc>
          <w:tcPr>
            <w:tcW w:w="1432" w:type="dxa"/>
          </w:tcPr>
          <w:p w:rsidR="008C0343" w:rsidRPr="0001248E" w:rsidRDefault="000B43BF" w:rsidP="008C0343">
            <w:r w:rsidRPr="0001248E">
              <w:t>OPSP24</w:t>
            </w:r>
          </w:p>
        </w:tc>
        <w:tc>
          <w:tcPr>
            <w:tcW w:w="5826" w:type="dxa"/>
          </w:tcPr>
          <w:p w:rsidR="008C0343" w:rsidRPr="000B43BF" w:rsidRDefault="00100728" w:rsidP="008C0343">
            <w:r w:rsidRPr="000B43BF">
              <w:t>Special Educational Needs and Disabilities</w:t>
            </w:r>
          </w:p>
        </w:tc>
      </w:tr>
      <w:tr w:rsidR="008C0343" w:rsidTr="00916462">
        <w:tc>
          <w:tcPr>
            <w:tcW w:w="2532" w:type="dxa"/>
            <w:vMerge/>
          </w:tcPr>
          <w:p w:rsidR="008C0343" w:rsidRPr="00506337" w:rsidRDefault="008C0343" w:rsidP="008C0343">
            <w:pPr>
              <w:rPr>
                <w:sz w:val="24"/>
                <w:szCs w:val="24"/>
              </w:rPr>
            </w:pPr>
          </w:p>
        </w:tc>
        <w:tc>
          <w:tcPr>
            <w:tcW w:w="1432" w:type="dxa"/>
          </w:tcPr>
          <w:p w:rsidR="008C0343" w:rsidRPr="0001248E" w:rsidRDefault="000B43BF" w:rsidP="008C0343">
            <w:r w:rsidRPr="0001248E">
              <w:t>HRP08</w:t>
            </w:r>
          </w:p>
        </w:tc>
        <w:tc>
          <w:tcPr>
            <w:tcW w:w="5826" w:type="dxa"/>
          </w:tcPr>
          <w:p w:rsidR="008C0343" w:rsidRPr="000B43BF" w:rsidRDefault="00100728" w:rsidP="008C0343">
            <w:r w:rsidRPr="000B43BF">
              <w:t>Equality and Diversity Policy</w:t>
            </w:r>
          </w:p>
        </w:tc>
      </w:tr>
      <w:tr w:rsidR="008C0343" w:rsidTr="00916462">
        <w:tc>
          <w:tcPr>
            <w:tcW w:w="2532" w:type="dxa"/>
            <w:vMerge/>
          </w:tcPr>
          <w:p w:rsidR="008C0343" w:rsidRPr="00506337" w:rsidRDefault="008C0343" w:rsidP="008C0343">
            <w:pPr>
              <w:rPr>
                <w:sz w:val="24"/>
                <w:szCs w:val="24"/>
              </w:rPr>
            </w:pPr>
          </w:p>
        </w:tc>
        <w:tc>
          <w:tcPr>
            <w:tcW w:w="1432" w:type="dxa"/>
          </w:tcPr>
          <w:p w:rsidR="008C0343" w:rsidRPr="00506337" w:rsidRDefault="008C0343" w:rsidP="008C0343"/>
        </w:tc>
        <w:tc>
          <w:tcPr>
            <w:tcW w:w="5826" w:type="dxa"/>
          </w:tcPr>
          <w:p w:rsidR="008C0343" w:rsidRPr="00506337" w:rsidRDefault="008C0343" w:rsidP="008C0343"/>
        </w:tc>
      </w:tr>
      <w:tr w:rsidR="008C0343" w:rsidTr="00916462">
        <w:tc>
          <w:tcPr>
            <w:tcW w:w="2532" w:type="dxa"/>
            <w:vMerge/>
          </w:tcPr>
          <w:p w:rsidR="008C0343" w:rsidRPr="00506337" w:rsidRDefault="008C0343" w:rsidP="008C0343">
            <w:pPr>
              <w:rPr>
                <w:sz w:val="24"/>
                <w:szCs w:val="24"/>
              </w:rPr>
            </w:pPr>
          </w:p>
        </w:tc>
        <w:tc>
          <w:tcPr>
            <w:tcW w:w="1432" w:type="dxa"/>
          </w:tcPr>
          <w:p w:rsidR="008C0343" w:rsidRPr="00506337" w:rsidRDefault="008C0343" w:rsidP="008C0343"/>
        </w:tc>
        <w:tc>
          <w:tcPr>
            <w:tcW w:w="5826" w:type="dxa"/>
          </w:tcPr>
          <w:p w:rsidR="008C0343" w:rsidRPr="00506337" w:rsidRDefault="008C0343" w:rsidP="008C0343"/>
        </w:tc>
      </w:tr>
      <w:tr w:rsidR="008C0343" w:rsidTr="00D570E8">
        <w:trPr>
          <w:trHeight w:val="1661"/>
        </w:trPr>
        <w:tc>
          <w:tcPr>
            <w:tcW w:w="2532" w:type="dxa"/>
          </w:tcPr>
          <w:p w:rsidR="008C0343" w:rsidRPr="00506337" w:rsidRDefault="008C0343" w:rsidP="008C0343">
            <w:pPr>
              <w:rPr>
                <w:b/>
                <w:sz w:val="24"/>
                <w:szCs w:val="24"/>
              </w:rPr>
            </w:pPr>
            <w:r w:rsidRPr="00506337">
              <w:rPr>
                <w:b/>
                <w:sz w:val="24"/>
                <w:szCs w:val="24"/>
              </w:rPr>
              <w:t>Outcome:</w:t>
            </w:r>
          </w:p>
        </w:tc>
        <w:tc>
          <w:tcPr>
            <w:tcW w:w="7258" w:type="dxa"/>
            <w:gridSpan w:val="2"/>
          </w:tcPr>
          <w:p w:rsidR="008C0343" w:rsidRPr="007A375A" w:rsidRDefault="00BA7C54" w:rsidP="008C0343">
            <w:r w:rsidRPr="007A375A">
              <w:t>The aim of this</w:t>
            </w:r>
            <w:r w:rsidR="008C0343" w:rsidRPr="007A375A">
              <w:t xml:space="preserve"> policy</w:t>
            </w:r>
            <w:r w:rsidRPr="007A375A">
              <w:t xml:space="preserve"> is</w:t>
            </w:r>
            <w:r w:rsidR="008C0343" w:rsidRPr="007A375A">
              <w:t>:</w:t>
            </w:r>
          </w:p>
          <w:p w:rsidR="008C0343" w:rsidRPr="00506337" w:rsidRDefault="00BA7C54" w:rsidP="008C0343">
            <w:pPr>
              <w:pStyle w:val="ListParagraph"/>
              <w:numPr>
                <w:ilvl w:val="0"/>
                <w:numId w:val="5"/>
              </w:numPr>
            </w:pPr>
            <w:r w:rsidRPr="007A375A">
              <w:t xml:space="preserve"> to ensure that the school admits, as far as is possible, those pupils whose special educational needs can be met effectively and in doing so ensure progress in all aspects of their development.</w:t>
            </w:r>
          </w:p>
        </w:tc>
      </w:tr>
      <w:tr w:rsidR="008C0343" w:rsidTr="008C0343">
        <w:tc>
          <w:tcPr>
            <w:tcW w:w="9790" w:type="dxa"/>
            <w:gridSpan w:val="3"/>
          </w:tcPr>
          <w:p w:rsidR="008C0343" w:rsidRPr="00BD7E93" w:rsidRDefault="008C0343" w:rsidP="008C0343">
            <w:pPr>
              <w:jc w:val="center"/>
              <w:rPr>
                <w:b/>
              </w:rPr>
            </w:pPr>
            <w:r w:rsidRPr="00BD7E93">
              <w:rPr>
                <w:b/>
              </w:rPr>
              <w:t>EQUALITY AND DIVERSITY STATEMENT</w:t>
            </w:r>
          </w:p>
          <w:p w:rsidR="008C0343" w:rsidRDefault="008C0343" w:rsidP="008C0343">
            <w:pPr>
              <w:jc w:val="center"/>
            </w:pPr>
            <w:r>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Tr="008C0343">
        <w:tc>
          <w:tcPr>
            <w:tcW w:w="9790" w:type="dxa"/>
            <w:gridSpan w:val="3"/>
          </w:tcPr>
          <w:p w:rsidR="009F0A11" w:rsidRDefault="009F0A11" w:rsidP="008C0343">
            <w:pPr>
              <w:jc w:val="center"/>
              <w:rPr>
                <w:b/>
              </w:rPr>
            </w:pPr>
            <w:r>
              <w:rPr>
                <w:b/>
              </w:rPr>
              <w:t>ENVIRONMENT, SOCIAL, GOVERNANCE (ESG) STATEMENT</w:t>
            </w:r>
          </w:p>
          <w:p w:rsidR="009F0A11" w:rsidRPr="009F0A11" w:rsidRDefault="009F0A11" w:rsidP="00F130F6">
            <w:pPr>
              <w:jc w:val="center"/>
            </w:pPr>
            <w:r w:rsidRPr="009F0A11">
              <w:t xml:space="preserve">Witherslack Group is committed </w:t>
            </w:r>
            <w:r w:rsidR="00F130F6">
              <w:t>to responsible business practices in the areas of: Environmental Stewardship, Social Responsibility, Governance, Ethics &amp; Compliance.  An ESG impact assessment has been completed on this policy to ensure it can be implemented successfully without adverse implications on our Group goals.</w:t>
            </w:r>
          </w:p>
        </w:tc>
      </w:tr>
      <w:tr w:rsidR="008C0343" w:rsidTr="008C0343">
        <w:tc>
          <w:tcPr>
            <w:tcW w:w="9790" w:type="dxa"/>
            <w:gridSpan w:val="3"/>
          </w:tcPr>
          <w:p w:rsidR="008C0343" w:rsidRPr="00C97D62" w:rsidRDefault="00A33B77" w:rsidP="00506337">
            <w:pPr>
              <w:jc w:val="center"/>
            </w:pPr>
            <w:r>
              <w:t>T</w:t>
            </w:r>
            <w:r w:rsidR="008C0343" w:rsidRPr="00C97D62">
              <w:t>o ensure that this policy is relevant and up to date, comments and suggestions for additions or amendments are sought from users of this document. To contribute towards the process of review, pl</w:t>
            </w:r>
            <w:r w:rsidR="00506337">
              <w:t>ease email the named policy lead</w:t>
            </w:r>
            <w:r w:rsidR="008C0343" w:rsidRPr="00C97D62">
              <w:t>.</w:t>
            </w:r>
          </w:p>
        </w:tc>
      </w:tr>
    </w:tbl>
    <w:p w:rsidR="00632BAB" w:rsidRDefault="00632BAB" w:rsidP="00C570BA"/>
    <w:p w:rsidR="00C97D62" w:rsidRDefault="00C97D62" w:rsidP="00C570BA"/>
    <w:p w:rsidR="00C97D62" w:rsidRDefault="00C97D62" w:rsidP="00C570BA"/>
    <w:p w:rsidR="0004035E" w:rsidRDefault="0004035E" w:rsidP="00DC0DBF"/>
    <w:p w:rsidR="00D570E8" w:rsidRDefault="00D570E8" w:rsidP="00DC0DBF"/>
    <w:p w:rsidR="00DC0DBF" w:rsidRDefault="00DC0DBF" w:rsidP="00DC0DBF"/>
    <w:p w:rsidR="007A375A" w:rsidRDefault="007A375A" w:rsidP="00DC0DBF"/>
    <w:p w:rsidR="00100728" w:rsidRDefault="00100728" w:rsidP="00DC0DBF"/>
    <w:p w:rsidR="007A375A" w:rsidRDefault="007A375A"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916462" w:rsidTr="007A375A">
        <w:tc>
          <w:tcPr>
            <w:tcW w:w="709" w:type="dxa"/>
          </w:tcPr>
          <w:p w:rsidR="00DC0DBF" w:rsidRPr="00916462" w:rsidRDefault="00DC0DBF" w:rsidP="00DC0DBF">
            <w:pPr>
              <w:rPr>
                <w:rFonts w:asciiTheme="majorHAnsi" w:hAnsiTheme="majorHAnsi" w:cstheme="majorHAnsi"/>
                <w:sz w:val="24"/>
                <w:szCs w:val="24"/>
              </w:rPr>
            </w:pPr>
          </w:p>
        </w:tc>
        <w:tc>
          <w:tcPr>
            <w:tcW w:w="9781" w:type="dxa"/>
          </w:tcPr>
          <w:p w:rsidR="00DC0DBF" w:rsidRPr="00916462" w:rsidRDefault="00DC0DBF" w:rsidP="00DC0DBF">
            <w:pPr>
              <w:jc w:val="both"/>
              <w:rPr>
                <w:rFonts w:asciiTheme="majorHAnsi" w:hAnsiTheme="majorHAnsi" w:cstheme="majorHAnsi"/>
                <w:b/>
                <w:sz w:val="24"/>
                <w:szCs w:val="24"/>
              </w:rPr>
            </w:pPr>
            <w:r w:rsidRPr="00916462">
              <w:rPr>
                <w:rFonts w:asciiTheme="majorHAnsi" w:hAnsiTheme="majorHAnsi" w:cstheme="majorHAnsi"/>
                <w:b/>
                <w:sz w:val="24"/>
                <w:szCs w:val="24"/>
              </w:rPr>
              <w:t>CONTENTS</w:t>
            </w:r>
          </w:p>
        </w:tc>
      </w:tr>
      <w:tr w:rsidR="00DC0DBF" w:rsidRPr="00916462" w:rsidTr="007A375A">
        <w:tc>
          <w:tcPr>
            <w:tcW w:w="709" w:type="dxa"/>
          </w:tcPr>
          <w:p w:rsidR="00DC0DBF"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1.</w:t>
            </w:r>
          </w:p>
        </w:tc>
        <w:tc>
          <w:tcPr>
            <w:tcW w:w="9781" w:type="dxa"/>
          </w:tcPr>
          <w:p w:rsidR="00DC0DBF" w:rsidRPr="00916462" w:rsidRDefault="00916462" w:rsidP="00DC0DBF">
            <w:pPr>
              <w:rPr>
                <w:rFonts w:asciiTheme="majorHAnsi" w:hAnsiTheme="majorHAnsi" w:cstheme="majorHAnsi"/>
                <w:sz w:val="24"/>
                <w:szCs w:val="24"/>
              </w:rPr>
            </w:pPr>
            <w:r w:rsidRPr="00916462">
              <w:rPr>
                <w:rFonts w:asciiTheme="majorHAnsi" w:hAnsiTheme="majorHAnsi" w:cstheme="majorHAnsi"/>
              </w:rPr>
              <w:t>STATEMENT AND VISION</w:t>
            </w:r>
          </w:p>
        </w:tc>
      </w:tr>
      <w:tr w:rsidR="00933E73" w:rsidRPr="00916462" w:rsidTr="007A375A">
        <w:tc>
          <w:tcPr>
            <w:tcW w:w="709" w:type="dxa"/>
          </w:tcPr>
          <w:p w:rsidR="00933E73"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2.</w:t>
            </w:r>
          </w:p>
        </w:tc>
        <w:tc>
          <w:tcPr>
            <w:tcW w:w="9781" w:type="dxa"/>
          </w:tcPr>
          <w:p w:rsidR="00933E73" w:rsidRPr="00916462" w:rsidRDefault="00916462" w:rsidP="00DC0DBF">
            <w:pPr>
              <w:rPr>
                <w:rFonts w:asciiTheme="majorHAnsi" w:hAnsiTheme="majorHAnsi" w:cstheme="majorHAnsi"/>
                <w:sz w:val="24"/>
                <w:szCs w:val="24"/>
              </w:rPr>
            </w:pPr>
            <w:r w:rsidRPr="00916462">
              <w:rPr>
                <w:rFonts w:asciiTheme="majorHAnsi" w:hAnsiTheme="majorHAnsi" w:cstheme="majorHAnsi"/>
                <w:bCs/>
              </w:rPr>
              <w:t>IN RESPONSE TO</w:t>
            </w:r>
          </w:p>
        </w:tc>
      </w:tr>
      <w:tr w:rsidR="00933E73" w:rsidRPr="00916462" w:rsidTr="007A375A">
        <w:tc>
          <w:tcPr>
            <w:tcW w:w="709" w:type="dxa"/>
          </w:tcPr>
          <w:p w:rsidR="00933E73"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3.</w:t>
            </w:r>
          </w:p>
        </w:tc>
        <w:tc>
          <w:tcPr>
            <w:tcW w:w="9781" w:type="dxa"/>
          </w:tcPr>
          <w:p w:rsidR="00933E73" w:rsidRPr="00916462" w:rsidRDefault="00916462" w:rsidP="00DC0DBF">
            <w:pPr>
              <w:rPr>
                <w:rFonts w:asciiTheme="majorHAnsi" w:hAnsiTheme="majorHAnsi" w:cstheme="majorHAnsi"/>
                <w:sz w:val="24"/>
                <w:szCs w:val="24"/>
              </w:rPr>
            </w:pPr>
            <w:r w:rsidRPr="00916462">
              <w:rPr>
                <w:rFonts w:asciiTheme="majorHAnsi" w:hAnsiTheme="majorHAnsi" w:cstheme="majorHAnsi"/>
                <w:bCs/>
              </w:rPr>
              <w:t>WITHERSLACK GROUP WILL</w:t>
            </w:r>
          </w:p>
        </w:tc>
      </w:tr>
      <w:tr w:rsidR="00933E73" w:rsidRPr="00916462" w:rsidTr="007A375A">
        <w:tc>
          <w:tcPr>
            <w:tcW w:w="709" w:type="dxa"/>
          </w:tcPr>
          <w:p w:rsidR="00933E73"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4.</w:t>
            </w:r>
          </w:p>
        </w:tc>
        <w:tc>
          <w:tcPr>
            <w:tcW w:w="9781" w:type="dxa"/>
          </w:tcPr>
          <w:p w:rsidR="00933E73" w:rsidRPr="00916462" w:rsidRDefault="00916462" w:rsidP="00DC0DBF">
            <w:pPr>
              <w:rPr>
                <w:rFonts w:asciiTheme="majorHAnsi" w:hAnsiTheme="majorHAnsi" w:cstheme="majorHAnsi"/>
                <w:sz w:val="24"/>
                <w:szCs w:val="24"/>
              </w:rPr>
            </w:pPr>
            <w:r w:rsidRPr="00916462">
              <w:rPr>
                <w:rFonts w:asciiTheme="majorHAnsi" w:hAnsiTheme="majorHAnsi" w:cstheme="majorHAnsi"/>
                <w:bCs/>
              </w:rPr>
              <w:t>IN EACH ESTABLISHMENT WE WILL</w:t>
            </w:r>
          </w:p>
        </w:tc>
      </w:tr>
      <w:tr w:rsidR="00933E73" w:rsidRPr="00916462" w:rsidTr="007A375A">
        <w:tc>
          <w:tcPr>
            <w:tcW w:w="709" w:type="dxa"/>
          </w:tcPr>
          <w:p w:rsidR="00933E73"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5.</w:t>
            </w:r>
          </w:p>
        </w:tc>
        <w:tc>
          <w:tcPr>
            <w:tcW w:w="9781" w:type="dxa"/>
          </w:tcPr>
          <w:p w:rsidR="00933E73" w:rsidRPr="00916462" w:rsidRDefault="00916462" w:rsidP="00DC0DBF">
            <w:pPr>
              <w:rPr>
                <w:rFonts w:asciiTheme="majorHAnsi" w:hAnsiTheme="majorHAnsi" w:cstheme="majorHAnsi"/>
                <w:sz w:val="24"/>
                <w:szCs w:val="24"/>
              </w:rPr>
            </w:pPr>
            <w:r w:rsidRPr="00916462">
              <w:rPr>
                <w:rFonts w:asciiTheme="majorHAnsi" w:hAnsiTheme="majorHAnsi" w:cstheme="majorHAnsi"/>
                <w:bCs/>
                <w:color w:val="000000"/>
              </w:rPr>
              <w:t>ADMISSIONS REGISTER</w:t>
            </w:r>
          </w:p>
        </w:tc>
      </w:tr>
      <w:tr w:rsidR="00D250DB" w:rsidRPr="00916462" w:rsidTr="007A375A">
        <w:tc>
          <w:tcPr>
            <w:tcW w:w="709" w:type="dxa"/>
          </w:tcPr>
          <w:p w:rsidR="00D250DB" w:rsidRPr="00916462" w:rsidRDefault="00CC7D8C" w:rsidP="00DC0DBF">
            <w:pPr>
              <w:rPr>
                <w:rFonts w:asciiTheme="majorHAnsi" w:hAnsiTheme="majorHAnsi" w:cstheme="majorHAnsi"/>
                <w:b/>
                <w:sz w:val="24"/>
                <w:szCs w:val="24"/>
              </w:rPr>
            </w:pPr>
            <w:r w:rsidRPr="00916462">
              <w:rPr>
                <w:rFonts w:asciiTheme="majorHAnsi" w:hAnsiTheme="majorHAnsi" w:cstheme="majorHAnsi"/>
                <w:b/>
                <w:sz w:val="24"/>
                <w:szCs w:val="24"/>
              </w:rPr>
              <w:t>6.</w:t>
            </w:r>
          </w:p>
        </w:tc>
        <w:tc>
          <w:tcPr>
            <w:tcW w:w="9781" w:type="dxa"/>
          </w:tcPr>
          <w:p w:rsidR="00D250DB" w:rsidRPr="00916462" w:rsidRDefault="00916462" w:rsidP="00DC0DBF">
            <w:pPr>
              <w:rPr>
                <w:rFonts w:asciiTheme="majorHAnsi" w:hAnsiTheme="majorHAnsi" w:cstheme="majorHAnsi"/>
                <w:bCs/>
                <w:color w:val="000000"/>
              </w:rPr>
            </w:pPr>
            <w:r w:rsidRPr="00916462">
              <w:rPr>
                <w:rFonts w:asciiTheme="majorHAnsi" w:hAnsiTheme="majorHAnsi" w:cstheme="majorHAnsi"/>
                <w:bCs/>
                <w:color w:val="000000"/>
              </w:rPr>
              <w:t xml:space="preserve">ADDITIONAL </w:t>
            </w:r>
          </w:p>
        </w:tc>
      </w:tr>
      <w:tr w:rsidR="00CC7D8C" w:rsidRPr="00916462" w:rsidTr="007A375A">
        <w:tc>
          <w:tcPr>
            <w:tcW w:w="709" w:type="dxa"/>
          </w:tcPr>
          <w:p w:rsidR="00CC7D8C" w:rsidRPr="00916462" w:rsidRDefault="00CC7D8C" w:rsidP="00DC0DBF">
            <w:pPr>
              <w:rPr>
                <w:rFonts w:asciiTheme="majorHAnsi" w:hAnsiTheme="majorHAnsi" w:cstheme="majorHAnsi"/>
                <w:b/>
                <w:sz w:val="24"/>
                <w:szCs w:val="24"/>
              </w:rPr>
            </w:pPr>
            <w:r w:rsidRPr="00916462">
              <w:rPr>
                <w:rFonts w:asciiTheme="majorHAnsi" w:hAnsiTheme="majorHAnsi" w:cstheme="majorHAnsi"/>
                <w:b/>
                <w:sz w:val="24"/>
                <w:szCs w:val="24"/>
              </w:rPr>
              <w:t xml:space="preserve">7. </w:t>
            </w:r>
          </w:p>
        </w:tc>
        <w:tc>
          <w:tcPr>
            <w:tcW w:w="9781" w:type="dxa"/>
          </w:tcPr>
          <w:p w:rsidR="00CC7D8C" w:rsidRPr="00916462" w:rsidRDefault="00916462" w:rsidP="00DC0DBF">
            <w:pPr>
              <w:rPr>
                <w:rFonts w:asciiTheme="majorHAnsi" w:hAnsiTheme="majorHAnsi" w:cstheme="majorHAnsi"/>
                <w:bCs/>
                <w:color w:val="000000"/>
              </w:rPr>
            </w:pPr>
            <w:r w:rsidRPr="00916462">
              <w:rPr>
                <w:rFonts w:asciiTheme="majorHAnsi" w:hAnsiTheme="majorHAnsi" w:cstheme="majorHAnsi"/>
                <w:bCs/>
                <w:color w:val="000000"/>
              </w:rPr>
              <w:t xml:space="preserve">FURTHER READING </w:t>
            </w:r>
          </w:p>
        </w:tc>
      </w:tr>
      <w:tr w:rsidR="000B43BF" w:rsidRPr="00916462" w:rsidTr="007A375A">
        <w:tc>
          <w:tcPr>
            <w:tcW w:w="709" w:type="dxa"/>
          </w:tcPr>
          <w:p w:rsidR="000B43BF" w:rsidRPr="00916462" w:rsidRDefault="000B43BF" w:rsidP="00DC0DBF">
            <w:pPr>
              <w:rPr>
                <w:rFonts w:asciiTheme="majorHAnsi" w:hAnsiTheme="majorHAnsi" w:cstheme="majorHAnsi"/>
                <w:b/>
                <w:sz w:val="24"/>
                <w:szCs w:val="24"/>
              </w:rPr>
            </w:pPr>
            <w:r>
              <w:rPr>
                <w:rFonts w:asciiTheme="majorHAnsi" w:hAnsiTheme="majorHAnsi" w:cstheme="majorHAnsi"/>
                <w:b/>
                <w:sz w:val="24"/>
                <w:szCs w:val="24"/>
              </w:rPr>
              <w:t>8.</w:t>
            </w:r>
          </w:p>
        </w:tc>
        <w:tc>
          <w:tcPr>
            <w:tcW w:w="9781" w:type="dxa"/>
          </w:tcPr>
          <w:p w:rsidR="000B43BF" w:rsidRPr="00916462" w:rsidRDefault="000B43BF" w:rsidP="00DC0DBF">
            <w:pPr>
              <w:rPr>
                <w:rFonts w:asciiTheme="majorHAnsi" w:hAnsiTheme="majorHAnsi" w:cstheme="majorHAnsi"/>
                <w:bCs/>
                <w:color w:val="000000"/>
              </w:rPr>
            </w:pPr>
            <w:r>
              <w:rPr>
                <w:rFonts w:asciiTheme="majorHAnsi" w:hAnsiTheme="majorHAnsi" w:cstheme="majorHAnsi"/>
                <w:bCs/>
                <w:color w:val="000000"/>
              </w:rPr>
              <w:t>REFERENCES</w:t>
            </w:r>
          </w:p>
        </w:tc>
      </w:tr>
      <w:tr w:rsidR="000B43BF" w:rsidRPr="00916462" w:rsidTr="007A375A">
        <w:tc>
          <w:tcPr>
            <w:tcW w:w="709" w:type="dxa"/>
          </w:tcPr>
          <w:p w:rsidR="000B43BF" w:rsidRPr="00916462" w:rsidRDefault="000B43BF" w:rsidP="00DC0DBF">
            <w:pPr>
              <w:rPr>
                <w:rFonts w:asciiTheme="majorHAnsi" w:hAnsiTheme="majorHAnsi" w:cstheme="majorHAnsi"/>
                <w:b/>
                <w:sz w:val="24"/>
                <w:szCs w:val="24"/>
              </w:rPr>
            </w:pPr>
            <w:r>
              <w:rPr>
                <w:rFonts w:asciiTheme="majorHAnsi" w:hAnsiTheme="majorHAnsi" w:cstheme="majorHAnsi"/>
                <w:b/>
                <w:sz w:val="24"/>
                <w:szCs w:val="24"/>
              </w:rPr>
              <w:t>9.</w:t>
            </w:r>
          </w:p>
        </w:tc>
        <w:tc>
          <w:tcPr>
            <w:tcW w:w="9781" w:type="dxa"/>
          </w:tcPr>
          <w:p w:rsidR="000B43BF" w:rsidRPr="00916462" w:rsidRDefault="000B43BF" w:rsidP="00DC0DBF">
            <w:pPr>
              <w:rPr>
                <w:rFonts w:asciiTheme="majorHAnsi" w:hAnsiTheme="majorHAnsi" w:cstheme="majorHAnsi"/>
                <w:bCs/>
                <w:color w:val="000000"/>
              </w:rPr>
            </w:pPr>
            <w:r>
              <w:rPr>
                <w:rFonts w:asciiTheme="majorHAnsi" w:hAnsiTheme="majorHAnsi" w:cstheme="majorHAnsi"/>
                <w:bCs/>
                <w:color w:val="000000"/>
              </w:rPr>
              <w:t>ASSOCIATED FORMS</w:t>
            </w:r>
          </w:p>
        </w:tc>
      </w:tr>
      <w:tr w:rsidR="000B43BF" w:rsidRPr="00916462" w:rsidTr="007A375A">
        <w:tc>
          <w:tcPr>
            <w:tcW w:w="709" w:type="dxa"/>
          </w:tcPr>
          <w:p w:rsidR="000B43BF" w:rsidRPr="00916462" w:rsidRDefault="000B43BF" w:rsidP="00DC0DBF">
            <w:pPr>
              <w:rPr>
                <w:rFonts w:asciiTheme="majorHAnsi" w:hAnsiTheme="majorHAnsi" w:cstheme="majorHAnsi"/>
                <w:b/>
                <w:sz w:val="24"/>
                <w:szCs w:val="24"/>
              </w:rPr>
            </w:pPr>
            <w:r>
              <w:rPr>
                <w:rFonts w:asciiTheme="majorHAnsi" w:hAnsiTheme="majorHAnsi" w:cstheme="majorHAnsi"/>
                <w:b/>
                <w:sz w:val="24"/>
                <w:szCs w:val="24"/>
              </w:rPr>
              <w:t>10.</w:t>
            </w:r>
          </w:p>
        </w:tc>
        <w:tc>
          <w:tcPr>
            <w:tcW w:w="9781" w:type="dxa"/>
          </w:tcPr>
          <w:p w:rsidR="000B43BF" w:rsidRPr="00916462" w:rsidRDefault="000B43BF" w:rsidP="00DC0DBF">
            <w:pPr>
              <w:rPr>
                <w:rFonts w:asciiTheme="majorHAnsi" w:hAnsiTheme="majorHAnsi" w:cstheme="majorHAnsi"/>
                <w:bCs/>
                <w:color w:val="000000"/>
              </w:rPr>
            </w:pPr>
            <w:r>
              <w:rPr>
                <w:rFonts w:asciiTheme="majorHAnsi" w:hAnsiTheme="majorHAnsi" w:cstheme="majorHAnsi"/>
                <w:bCs/>
                <w:color w:val="000000"/>
              </w:rPr>
              <w:t>APPENDICES</w:t>
            </w:r>
          </w:p>
        </w:tc>
      </w:tr>
      <w:tr w:rsidR="00CC7D8C" w:rsidRPr="00916462" w:rsidTr="007A375A">
        <w:tc>
          <w:tcPr>
            <w:tcW w:w="709" w:type="dxa"/>
          </w:tcPr>
          <w:p w:rsidR="00CC7D8C" w:rsidRPr="00916462" w:rsidRDefault="00CC7D8C" w:rsidP="00DC0DBF">
            <w:pPr>
              <w:rPr>
                <w:rFonts w:asciiTheme="majorHAnsi" w:hAnsiTheme="majorHAnsi" w:cstheme="majorHAnsi"/>
                <w:b/>
                <w:sz w:val="24"/>
                <w:szCs w:val="24"/>
              </w:rPr>
            </w:pPr>
          </w:p>
        </w:tc>
        <w:tc>
          <w:tcPr>
            <w:tcW w:w="9781" w:type="dxa"/>
          </w:tcPr>
          <w:p w:rsidR="00CC7D8C" w:rsidRDefault="00CC7D8C"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Default="007A375A" w:rsidP="00DC0DBF">
            <w:pPr>
              <w:rPr>
                <w:rFonts w:asciiTheme="majorHAnsi" w:hAnsiTheme="majorHAnsi" w:cstheme="majorHAnsi"/>
                <w:bCs/>
                <w:color w:val="000000"/>
              </w:rPr>
            </w:pPr>
          </w:p>
          <w:p w:rsidR="007A375A" w:rsidRPr="00916462" w:rsidRDefault="007A375A" w:rsidP="00DC0DBF">
            <w:pPr>
              <w:rPr>
                <w:rFonts w:asciiTheme="majorHAnsi" w:hAnsiTheme="majorHAnsi" w:cstheme="majorHAnsi"/>
                <w:bCs/>
                <w:color w:val="000000"/>
              </w:rPr>
            </w:pPr>
          </w:p>
        </w:tc>
      </w:tr>
      <w:tr w:rsidR="00DC0DBF" w:rsidRPr="00916462" w:rsidTr="007A375A">
        <w:tc>
          <w:tcPr>
            <w:tcW w:w="709" w:type="dxa"/>
          </w:tcPr>
          <w:p w:rsidR="00DC0DBF" w:rsidRPr="00916462" w:rsidRDefault="00DC0DBF" w:rsidP="00DC0DBF">
            <w:pPr>
              <w:rPr>
                <w:rFonts w:asciiTheme="majorHAnsi" w:hAnsiTheme="majorHAnsi" w:cstheme="majorHAnsi"/>
                <w:b/>
                <w:sz w:val="24"/>
                <w:szCs w:val="24"/>
              </w:rPr>
            </w:pPr>
            <w:r w:rsidRPr="00916462">
              <w:rPr>
                <w:rFonts w:asciiTheme="majorHAnsi" w:hAnsiTheme="majorHAnsi" w:cstheme="majorHAnsi"/>
                <w:b/>
                <w:sz w:val="24"/>
                <w:szCs w:val="24"/>
              </w:rPr>
              <w:lastRenderedPageBreak/>
              <w:t>1.</w:t>
            </w:r>
          </w:p>
        </w:tc>
        <w:tc>
          <w:tcPr>
            <w:tcW w:w="9781" w:type="dxa"/>
          </w:tcPr>
          <w:p w:rsidR="00DC0DBF"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STATEMENT AND VISION</w:t>
            </w:r>
          </w:p>
        </w:tc>
      </w:tr>
      <w:tr w:rsidR="00DC0DBF" w:rsidRPr="00916462" w:rsidTr="007A375A">
        <w:tc>
          <w:tcPr>
            <w:tcW w:w="709" w:type="dxa"/>
          </w:tcPr>
          <w:p w:rsidR="00DC0DBF" w:rsidRPr="00916462" w:rsidRDefault="0064090F" w:rsidP="00DC0DBF">
            <w:pPr>
              <w:rPr>
                <w:rFonts w:asciiTheme="majorHAnsi" w:hAnsiTheme="majorHAnsi" w:cstheme="majorHAnsi"/>
                <w:b/>
                <w:sz w:val="24"/>
                <w:szCs w:val="24"/>
              </w:rPr>
            </w:pPr>
            <w:r w:rsidRPr="00916462">
              <w:rPr>
                <w:rFonts w:asciiTheme="majorHAnsi" w:hAnsiTheme="majorHAnsi" w:cstheme="majorHAnsi"/>
                <w:b/>
                <w:sz w:val="24"/>
                <w:szCs w:val="24"/>
              </w:rPr>
              <w:t>1.1</w:t>
            </w:r>
          </w:p>
        </w:tc>
        <w:tc>
          <w:tcPr>
            <w:tcW w:w="9781" w:type="dxa"/>
          </w:tcPr>
          <w:p w:rsidR="00CC7D8C" w:rsidRPr="00916462" w:rsidRDefault="00CC7D8C" w:rsidP="00CC7D8C">
            <w:pPr>
              <w:suppressAutoHyphens/>
              <w:spacing w:after="120"/>
              <w:jc w:val="both"/>
              <w:rPr>
                <w:rFonts w:asciiTheme="majorHAnsi" w:eastAsia="Times New Roman" w:hAnsiTheme="majorHAnsi" w:cstheme="majorHAnsi"/>
                <w:lang w:val="en-US" w:eastAsia="ar-SA"/>
              </w:rPr>
            </w:pPr>
            <w:r w:rsidRPr="00916462">
              <w:rPr>
                <w:rFonts w:asciiTheme="majorHAnsi" w:eastAsia="Times New Roman" w:hAnsiTheme="majorHAnsi" w:cstheme="majorHAnsi"/>
                <w:lang w:val="en-US" w:eastAsia="ar-SA"/>
              </w:rPr>
              <w:t>This policy is to ensure that all settings within Witherslack Group are able to meet the particular needs of the children and young people who are admitted.</w:t>
            </w:r>
          </w:p>
          <w:p w:rsidR="00100728" w:rsidRPr="000B43BF" w:rsidRDefault="00CC7D8C" w:rsidP="000B43BF">
            <w:pPr>
              <w:pStyle w:val="NoSpacing"/>
              <w:rPr>
                <w:rFonts w:asciiTheme="majorHAnsi" w:hAnsiTheme="majorHAnsi" w:cstheme="majorHAnsi"/>
                <w:lang w:val="en-US" w:eastAsia="ar-SA"/>
              </w:rPr>
            </w:pPr>
            <w:r w:rsidRPr="000B43BF">
              <w:rPr>
                <w:rFonts w:asciiTheme="majorHAnsi" w:hAnsiTheme="majorHAnsi" w:cstheme="majorHAnsi"/>
                <w:lang w:val="en-US" w:eastAsia="ar-SA"/>
              </w:rPr>
              <w:t>To ensure key entry and exit details of each pupil is checked and documented at the start and end of placement.</w:t>
            </w:r>
          </w:p>
        </w:tc>
      </w:tr>
      <w:tr w:rsidR="000B43BF" w:rsidRPr="00916462" w:rsidTr="007A375A">
        <w:tc>
          <w:tcPr>
            <w:tcW w:w="709" w:type="dxa"/>
          </w:tcPr>
          <w:p w:rsidR="000B43BF" w:rsidRPr="00916462" w:rsidRDefault="000B43BF" w:rsidP="00DC0DBF">
            <w:pPr>
              <w:rPr>
                <w:rFonts w:asciiTheme="majorHAnsi" w:hAnsiTheme="majorHAnsi" w:cstheme="majorHAnsi"/>
                <w:b/>
                <w:sz w:val="24"/>
                <w:szCs w:val="24"/>
              </w:rPr>
            </w:pPr>
            <w:r>
              <w:rPr>
                <w:rFonts w:asciiTheme="majorHAnsi" w:hAnsiTheme="majorHAnsi" w:cstheme="majorHAnsi"/>
                <w:b/>
                <w:sz w:val="24"/>
                <w:szCs w:val="24"/>
              </w:rPr>
              <w:t>1.2</w:t>
            </w:r>
          </w:p>
        </w:tc>
        <w:tc>
          <w:tcPr>
            <w:tcW w:w="9781" w:type="dxa"/>
          </w:tcPr>
          <w:p w:rsidR="000B43BF" w:rsidRPr="000B43BF" w:rsidRDefault="000B43BF" w:rsidP="000B43BF">
            <w:pPr>
              <w:pStyle w:val="NoSpacing"/>
              <w:rPr>
                <w:rFonts w:asciiTheme="majorHAnsi" w:hAnsiTheme="majorHAnsi" w:cstheme="majorHAnsi"/>
                <w:lang w:val="en-US" w:eastAsia="ar-SA"/>
              </w:rPr>
            </w:pPr>
            <w:r w:rsidRPr="000B43BF">
              <w:rPr>
                <w:rFonts w:asciiTheme="majorHAnsi" w:hAnsiTheme="majorHAnsi" w:cstheme="majorHAnsi"/>
                <w:lang w:val="en-US" w:eastAsia="ar-SA"/>
              </w:rPr>
              <w:t>Group representative responsible for monitoring: Regional Director</w:t>
            </w:r>
          </w:p>
        </w:tc>
      </w:tr>
      <w:tr w:rsidR="00DC0DBF" w:rsidRPr="00916462" w:rsidTr="007A375A">
        <w:tc>
          <w:tcPr>
            <w:tcW w:w="709" w:type="dxa"/>
          </w:tcPr>
          <w:p w:rsidR="00DC0DBF" w:rsidRPr="00916462" w:rsidRDefault="00DC0DBF" w:rsidP="00DC0DBF">
            <w:pPr>
              <w:rPr>
                <w:rFonts w:asciiTheme="majorHAnsi" w:hAnsiTheme="majorHAnsi" w:cstheme="majorHAnsi"/>
                <w:b/>
                <w:sz w:val="24"/>
                <w:szCs w:val="24"/>
              </w:rPr>
            </w:pPr>
          </w:p>
        </w:tc>
        <w:tc>
          <w:tcPr>
            <w:tcW w:w="9781" w:type="dxa"/>
          </w:tcPr>
          <w:p w:rsidR="00DC0DBF" w:rsidRPr="00916462" w:rsidRDefault="00567134" w:rsidP="00567134">
            <w:pPr>
              <w:tabs>
                <w:tab w:val="center" w:pos="4782"/>
                <w:tab w:val="left" w:pos="5205"/>
              </w:tabs>
              <w:rPr>
                <w:rFonts w:asciiTheme="majorHAnsi" w:hAnsiTheme="majorHAnsi" w:cstheme="majorHAnsi"/>
                <w:sz w:val="24"/>
                <w:szCs w:val="24"/>
              </w:rPr>
            </w:pPr>
            <w:r w:rsidRPr="00916462">
              <w:rPr>
                <w:rFonts w:asciiTheme="majorHAnsi" w:hAnsiTheme="majorHAnsi" w:cstheme="majorHAnsi"/>
                <w:sz w:val="24"/>
                <w:szCs w:val="24"/>
              </w:rPr>
              <w:tab/>
            </w:r>
            <w:r w:rsidRPr="00916462">
              <w:rPr>
                <w:rFonts w:asciiTheme="majorHAnsi" w:hAnsiTheme="majorHAnsi" w:cstheme="majorHAnsi"/>
                <w:sz w:val="24"/>
                <w:szCs w:val="24"/>
              </w:rPr>
              <w:tab/>
            </w:r>
          </w:p>
        </w:tc>
      </w:tr>
      <w:tr w:rsidR="00DC0DBF" w:rsidRPr="00916462" w:rsidTr="007A375A">
        <w:tc>
          <w:tcPr>
            <w:tcW w:w="709" w:type="dxa"/>
          </w:tcPr>
          <w:p w:rsidR="00DC0DBF" w:rsidRPr="00916462" w:rsidRDefault="0064090F" w:rsidP="00DC0DBF">
            <w:pPr>
              <w:rPr>
                <w:rFonts w:asciiTheme="majorHAnsi" w:hAnsiTheme="majorHAnsi" w:cstheme="majorHAnsi"/>
                <w:b/>
                <w:sz w:val="24"/>
                <w:szCs w:val="24"/>
              </w:rPr>
            </w:pPr>
            <w:r w:rsidRPr="00916462">
              <w:rPr>
                <w:rFonts w:asciiTheme="majorHAnsi" w:hAnsiTheme="majorHAnsi" w:cstheme="majorHAnsi"/>
                <w:b/>
                <w:sz w:val="24"/>
                <w:szCs w:val="24"/>
              </w:rPr>
              <w:t>2</w:t>
            </w:r>
            <w:r w:rsidR="007A375A">
              <w:rPr>
                <w:rFonts w:asciiTheme="majorHAnsi" w:hAnsiTheme="majorHAnsi" w:cstheme="majorHAnsi"/>
                <w:b/>
                <w:sz w:val="24"/>
                <w:szCs w:val="24"/>
              </w:rPr>
              <w:t>.</w:t>
            </w:r>
          </w:p>
        </w:tc>
        <w:tc>
          <w:tcPr>
            <w:tcW w:w="9781" w:type="dxa"/>
          </w:tcPr>
          <w:p w:rsidR="00DC0DBF"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IN RESPONSE TO</w:t>
            </w:r>
          </w:p>
        </w:tc>
      </w:tr>
      <w:tr w:rsidR="0064090F" w:rsidRPr="00916462" w:rsidTr="007A375A">
        <w:tc>
          <w:tcPr>
            <w:tcW w:w="709" w:type="dxa"/>
          </w:tcPr>
          <w:p w:rsidR="0064090F" w:rsidRPr="00916462" w:rsidRDefault="0064090F" w:rsidP="0064090F">
            <w:pPr>
              <w:rPr>
                <w:rFonts w:asciiTheme="majorHAnsi" w:hAnsiTheme="majorHAnsi" w:cstheme="majorHAnsi"/>
                <w:b/>
                <w:sz w:val="24"/>
                <w:szCs w:val="24"/>
              </w:rPr>
            </w:pPr>
            <w:r w:rsidRPr="00916462">
              <w:rPr>
                <w:rFonts w:asciiTheme="majorHAnsi" w:hAnsiTheme="majorHAnsi" w:cstheme="majorHAnsi"/>
                <w:b/>
                <w:sz w:val="24"/>
                <w:szCs w:val="24"/>
              </w:rPr>
              <w:t>2.1</w:t>
            </w:r>
          </w:p>
        </w:tc>
        <w:tc>
          <w:tcPr>
            <w:tcW w:w="9781" w:type="dxa"/>
          </w:tcPr>
          <w:p w:rsidR="00CC7D8C" w:rsidRPr="00916462" w:rsidRDefault="00E71BC8" w:rsidP="00CC7D8C">
            <w:pPr>
              <w:pStyle w:val="ListParagraph"/>
              <w:numPr>
                <w:ilvl w:val="0"/>
                <w:numId w:val="5"/>
              </w:numPr>
              <w:rPr>
                <w:rFonts w:asciiTheme="majorHAnsi" w:hAnsiTheme="majorHAnsi" w:cstheme="majorHAnsi"/>
              </w:rPr>
            </w:pPr>
            <w:hyperlink r:id="rId9" w:history="1">
              <w:r w:rsidR="00D250DB" w:rsidRPr="00916462">
                <w:rPr>
                  <w:rStyle w:val="Hyperlink"/>
                  <w:rFonts w:asciiTheme="majorHAnsi" w:hAnsiTheme="majorHAnsi" w:cstheme="majorHAnsi"/>
                </w:rPr>
                <w:t xml:space="preserve">The </w:t>
              </w:r>
              <w:r w:rsidR="00CC7D8C" w:rsidRPr="00916462">
                <w:rPr>
                  <w:rStyle w:val="Hyperlink"/>
                  <w:rFonts w:asciiTheme="majorHAnsi" w:hAnsiTheme="majorHAnsi" w:cstheme="majorHAnsi"/>
                </w:rPr>
                <w:t xml:space="preserve">Education Act 2011 </w:t>
              </w:r>
            </w:hyperlink>
          </w:p>
          <w:p w:rsidR="00CC7D8C" w:rsidRPr="00916462" w:rsidRDefault="00E71BC8" w:rsidP="00CC7D8C">
            <w:pPr>
              <w:pStyle w:val="ListParagraph"/>
              <w:numPr>
                <w:ilvl w:val="0"/>
                <w:numId w:val="5"/>
              </w:numPr>
              <w:rPr>
                <w:rFonts w:asciiTheme="majorHAnsi" w:hAnsiTheme="majorHAnsi" w:cstheme="majorHAnsi"/>
              </w:rPr>
            </w:pPr>
            <w:hyperlink r:id="rId10" w:history="1">
              <w:r w:rsidR="00CC7D8C" w:rsidRPr="00916462">
                <w:rPr>
                  <w:rStyle w:val="Hyperlink"/>
                  <w:rFonts w:asciiTheme="majorHAnsi" w:hAnsiTheme="majorHAnsi" w:cstheme="majorHAnsi"/>
                </w:rPr>
                <w:t>School Admissions Code</w:t>
              </w:r>
            </w:hyperlink>
            <w:r w:rsidR="00CC7D8C" w:rsidRPr="00916462">
              <w:rPr>
                <w:rFonts w:asciiTheme="majorHAnsi" w:hAnsiTheme="majorHAnsi" w:cstheme="majorHAnsi"/>
              </w:rPr>
              <w:t xml:space="preserve"> (updated September 2021)</w:t>
            </w:r>
          </w:p>
          <w:p w:rsidR="00CC7D8C" w:rsidRPr="00916462" w:rsidRDefault="00E71BC8" w:rsidP="00CC7D8C">
            <w:pPr>
              <w:pStyle w:val="ListParagraph"/>
              <w:numPr>
                <w:ilvl w:val="0"/>
                <w:numId w:val="5"/>
              </w:numPr>
              <w:rPr>
                <w:rFonts w:asciiTheme="majorHAnsi" w:hAnsiTheme="majorHAnsi" w:cstheme="majorHAnsi"/>
              </w:rPr>
            </w:pPr>
            <w:hyperlink r:id="rId11" w:history="1">
              <w:r w:rsidR="00CC7D8C" w:rsidRPr="00916462">
                <w:rPr>
                  <w:rStyle w:val="Hyperlink"/>
                  <w:rFonts w:asciiTheme="majorHAnsi" w:hAnsiTheme="majorHAnsi" w:cstheme="majorHAnsi"/>
                </w:rPr>
                <w:t>The School Admissions (Admission Arrangements and Co-ordination of Admission Arrangements) (England) Regulations 2012</w:t>
              </w:r>
            </w:hyperlink>
          </w:p>
          <w:p w:rsidR="00CC7D8C" w:rsidRPr="00916462" w:rsidRDefault="00E71BC8" w:rsidP="00CC7D8C">
            <w:pPr>
              <w:pStyle w:val="ListParagraph"/>
              <w:numPr>
                <w:ilvl w:val="0"/>
                <w:numId w:val="5"/>
              </w:numPr>
              <w:rPr>
                <w:rFonts w:asciiTheme="majorHAnsi" w:hAnsiTheme="majorHAnsi" w:cstheme="majorHAnsi"/>
              </w:rPr>
            </w:pPr>
            <w:hyperlink r:id="rId12" w:history="1">
              <w:r w:rsidR="00CC7D8C" w:rsidRPr="00916462">
                <w:rPr>
                  <w:rStyle w:val="Hyperlink"/>
                  <w:rFonts w:asciiTheme="majorHAnsi" w:hAnsiTheme="majorHAnsi" w:cstheme="majorHAnsi"/>
                </w:rPr>
                <w:t>Prevent Duty Guidance</w:t>
              </w:r>
            </w:hyperlink>
            <w:r w:rsidR="00CC7D8C" w:rsidRPr="00916462">
              <w:rPr>
                <w:rFonts w:asciiTheme="majorHAnsi" w:hAnsiTheme="majorHAnsi" w:cstheme="majorHAnsi"/>
              </w:rPr>
              <w:t xml:space="preserve"> – Published 2015, Updated April 2021</w:t>
            </w:r>
          </w:p>
          <w:p w:rsidR="00CC7D8C" w:rsidRPr="00916462" w:rsidRDefault="00E71BC8" w:rsidP="00CC7D8C">
            <w:pPr>
              <w:pStyle w:val="ListParagraph"/>
              <w:numPr>
                <w:ilvl w:val="0"/>
                <w:numId w:val="5"/>
              </w:numPr>
              <w:rPr>
                <w:rFonts w:asciiTheme="majorHAnsi" w:hAnsiTheme="majorHAnsi" w:cstheme="majorHAnsi"/>
              </w:rPr>
            </w:pPr>
            <w:hyperlink r:id="rId13" w:history="1">
              <w:r w:rsidR="00CC7D8C" w:rsidRPr="00916462">
                <w:rPr>
                  <w:rStyle w:val="Hyperlink"/>
                  <w:rFonts w:asciiTheme="majorHAnsi" w:hAnsiTheme="majorHAnsi" w:cstheme="majorHAnsi"/>
                </w:rPr>
                <w:t>Keeping Children Safe in Education: Statutory Guidance for Schools and Colleges</w:t>
              </w:r>
            </w:hyperlink>
            <w:r w:rsidR="00CC7D8C" w:rsidRPr="00916462">
              <w:rPr>
                <w:rFonts w:asciiTheme="majorHAnsi" w:hAnsiTheme="majorHAnsi" w:cstheme="majorHAnsi"/>
              </w:rPr>
              <w:t xml:space="preserve">,  July </w:t>
            </w:r>
            <w:r w:rsidR="00BF14E4" w:rsidRPr="00916462">
              <w:rPr>
                <w:rFonts w:asciiTheme="majorHAnsi" w:hAnsiTheme="majorHAnsi" w:cstheme="majorHAnsi"/>
              </w:rPr>
              <w:t>2015, last update September 2022</w:t>
            </w:r>
          </w:p>
          <w:p w:rsidR="00CC7D8C" w:rsidRPr="00916462" w:rsidRDefault="00E71BC8" w:rsidP="00CC7D8C">
            <w:pPr>
              <w:pStyle w:val="ListParagraph"/>
              <w:numPr>
                <w:ilvl w:val="0"/>
                <w:numId w:val="5"/>
              </w:numPr>
              <w:rPr>
                <w:rFonts w:asciiTheme="majorHAnsi" w:hAnsiTheme="majorHAnsi" w:cstheme="majorHAnsi"/>
              </w:rPr>
            </w:pPr>
            <w:hyperlink r:id="rId14" w:history="1">
              <w:r w:rsidR="00CC7D8C" w:rsidRPr="00916462">
                <w:rPr>
                  <w:rStyle w:val="Hyperlink"/>
                  <w:rFonts w:asciiTheme="majorHAnsi" w:hAnsiTheme="majorHAnsi" w:cstheme="majorHAnsi"/>
                </w:rPr>
                <w:t>The School Information (England) Regulation 2008</w:t>
              </w:r>
            </w:hyperlink>
          </w:p>
          <w:p w:rsidR="00CC7D8C" w:rsidRPr="00916462" w:rsidRDefault="00E71BC8" w:rsidP="00CC7D8C">
            <w:pPr>
              <w:pStyle w:val="ListParagraph"/>
              <w:numPr>
                <w:ilvl w:val="0"/>
                <w:numId w:val="5"/>
              </w:numPr>
              <w:rPr>
                <w:rFonts w:asciiTheme="majorHAnsi" w:hAnsiTheme="majorHAnsi" w:cstheme="majorHAnsi"/>
              </w:rPr>
            </w:pPr>
            <w:hyperlink r:id="rId15" w:history="1">
              <w:r w:rsidR="00CC7D8C" w:rsidRPr="00916462">
                <w:rPr>
                  <w:rStyle w:val="Hyperlink"/>
                  <w:rFonts w:asciiTheme="majorHAnsi" w:hAnsiTheme="majorHAnsi" w:cstheme="majorHAnsi"/>
                </w:rPr>
                <w:t>The School Admissions (England) Amendment Regulations 2017</w:t>
              </w:r>
            </w:hyperlink>
            <w:r w:rsidR="00CC7D8C" w:rsidRPr="00916462">
              <w:rPr>
                <w:rFonts w:asciiTheme="majorHAnsi" w:hAnsiTheme="majorHAnsi" w:cstheme="majorHAnsi"/>
              </w:rPr>
              <w:t xml:space="preserve"> </w:t>
            </w:r>
          </w:p>
          <w:p w:rsidR="00CC7D8C" w:rsidRPr="00916462" w:rsidRDefault="00E71BC8" w:rsidP="00CC7D8C">
            <w:pPr>
              <w:pStyle w:val="ListParagraph"/>
              <w:numPr>
                <w:ilvl w:val="0"/>
                <w:numId w:val="5"/>
              </w:numPr>
              <w:rPr>
                <w:rFonts w:asciiTheme="majorHAnsi" w:hAnsiTheme="majorHAnsi" w:cstheme="majorHAnsi"/>
              </w:rPr>
            </w:pPr>
            <w:hyperlink r:id="rId16" w:history="1">
              <w:r w:rsidR="00CC7D8C" w:rsidRPr="00916462">
                <w:rPr>
                  <w:rStyle w:val="Hyperlink"/>
                  <w:rFonts w:asciiTheme="majorHAnsi" w:hAnsiTheme="majorHAnsi" w:cstheme="majorHAnsi"/>
                </w:rPr>
                <w:t>The School Admissions (England) (Coronavirus) (Appeals Arrangements) (Amendment) Regulations 2020</w:t>
              </w:r>
            </w:hyperlink>
          </w:p>
          <w:p w:rsidR="00CC7D8C" w:rsidRPr="00916462" w:rsidRDefault="00CC7D8C" w:rsidP="00CC7D8C">
            <w:pPr>
              <w:pStyle w:val="ListParagraph"/>
              <w:numPr>
                <w:ilvl w:val="0"/>
                <w:numId w:val="5"/>
              </w:numPr>
              <w:rPr>
                <w:rFonts w:asciiTheme="majorHAnsi" w:hAnsiTheme="majorHAnsi" w:cstheme="majorHAnsi"/>
              </w:rPr>
            </w:pPr>
            <w:r w:rsidRPr="00916462">
              <w:rPr>
                <w:rFonts w:asciiTheme="majorHAnsi" w:hAnsiTheme="majorHAnsi" w:cstheme="majorHAnsi"/>
              </w:rPr>
              <w:t>Witherslack Group Referrals and Admissions Protocol</w:t>
            </w:r>
          </w:p>
          <w:p w:rsidR="0064090F" w:rsidRPr="00916462" w:rsidRDefault="00E71BC8" w:rsidP="00CC7D8C">
            <w:pPr>
              <w:pStyle w:val="ListParagraph"/>
              <w:numPr>
                <w:ilvl w:val="0"/>
                <w:numId w:val="5"/>
              </w:numPr>
              <w:rPr>
                <w:rFonts w:asciiTheme="majorHAnsi" w:hAnsiTheme="majorHAnsi" w:cstheme="majorHAnsi"/>
              </w:rPr>
            </w:pPr>
            <w:hyperlink r:id="rId17" w:history="1">
              <w:r w:rsidR="00CC7D8C" w:rsidRPr="00916462">
                <w:rPr>
                  <w:rStyle w:val="Hyperlink"/>
                  <w:rFonts w:asciiTheme="majorHAnsi" w:hAnsiTheme="majorHAnsi" w:cstheme="majorHAnsi"/>
                </w:rPr>
                <w:t>Section 41 listing</w:t>
              </w:r>
            </w:hyperlink>
          </w:p>
          <w:p w:rsidR="00100728" w:rsidRPr="00916462" w:rsidRDefault="00100728" w:rsidP="007A375A">
            <w:pPr>
              <w:pStyle w:val="ListParagraph"/>
              <w:numPr>
                <w:ilvl w:val="0"/>
                <w:numId w:val="5"/>
              </w:numPr>
              <w:rPr>
                <w:rFonts w:asciiTheme="majorHAnsi" w:hAnsiTheme="majorHAnsi" w:cstheme="majorHAnsi"/>
              </w:rPr>
            </w:pPr>
            <w:r w:rsidRPr="00916462">
              <w:rPr>
                <w:rFonts w:asciiTheme="majorHAnsi" w:hAnsiTheme="majorHAnsi" w:cstheme="majorHAnsi"/>
              </w:rPr>
              <w:t>Part 6, Paragraph 24 (3) (a) of The Education (Independent School Standards Compliance Record) (England)</w:t>
            </w:r>
          </w:p>
        </w:tc>
      </w:tr>
      <w:tr w:rsidR="00DC0DBF" w:rsidRPr="00916462" w:rsidTr="007A375A">
        <w:tc>
          <w:tcPr>
            <w:tcW w:w="709" w:type="dxa"/>
          </w:tcPr>
          <w:p w:rsidR="00DC0DBF" w:rsidRPr="00916462" w:rsidRDefault="00DC0DBF" w:rsidP="00DC0DBF">
            <w:pPr>
              <w:rPr>
                <w:rFonts w:asciiTheme="majorHAnsi" w:hAnsiTheme="majorHAnsi" w:cstheme="majorHAnsi"/>
                <w:sz w:val="24"/>
                <w:szCs w:val="24"/>
              </w:rPr>
            </w:pPr>
          </w:p>
        </w:tc>
        <w:tc>
          <w:tcPr>
            <w:tcW w:w="9781" w:type="dxa"/>
          </w:tcPr>
          <w:p w:rsidR="00DC0DBF" w:rsidRPr="00916462" w:rsidRDefault="00DC0DBF" w:rsidP="0064090F">
            <w:pPr>
              <w:rPr>
                <w:rFonts w:asciiTheme="majorHAnsi" w:hAnsiTheme="majorHAnsi" w:cstheme="majorHAnsi"/>
                <w:sz w:val="24"/>
                <w:szCs w:val="24"/>
              </w:rPr>
            </w:pPr>
          </w:p>
        </w:tc>
      </w:tr>
      <w:tr w:rsidR="00DC0DBF" w:rsidRPr="00916462" w:rsidTr="007A375A">
        <w:tc>
          <w:tcPr>
            <w:tcW w:w="709" w:type="dxa"/>
          </w:tcPr>
          <w:p w:rsidR="00DC0DBF"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3</w:t>
            </w:r>
            <w:r w:rsidR="007A375A">
              <w:rPr>
                <w:rFonts w:asciiTheme="majorHAnsi" w:hAnsiTheme="majorHAnsi" w:cstheme="majorHAnsi"/>
                <w:b/>
                <w:sz w:val="24"/>
                <w:szCs w:val="24"/>
              </w:rPr>
              <w:t>.</w:t>
            </w:r>
          </w:p>
        </w:tc>
        <w:tc>
          <w:tcPr>
            <w:tcW w:w="9781" w:type="dxa"/>
          </w:tcPr>
          <w:p w:rsidR="00DC0DBF"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THE WITHERSLACK GROUP WILL</w:t>
            </w:r>
          </w:p>
        </w:tc>
      </w:tr>
      <w:tr w:rsidR="00D250DB" w:rsidRPr="00916462" w:rsidTr="007A375A">
        <w:tc>
          <w:tcPr>
            <w:tcW w:w="709" w:type="dxa"/>
          </w:tcPr>
          <w:p w:rsidR="00D250DB"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3.1</w:t>
            </w:r>
          </w:p>
        </w:tc>
        <w:tc>
          <w:tcPr>
            <w:tcW w:w="9781" w:type="dxa"/>
          </w:tcPr>
          <w:p w:rsidR="00D250DB" w:rsidRPr="00916462" w:rsidRDefault="00CC7D8C" w:rsidP="00916462">
            <w:pPr>
              <w:suppressAutoHyphens/>
              <w:spacing w:after="120"/>
              <w:jc w:val="both"/>
              <w:rPr>
                <w:rFonts w:asciiTheme="majorHAnsi" w:eastAsia="Times New Roman" w:hAnsiTheme="majorHAnsi" w:cstheme="majorHAnsi"/>
                <w:lang w:val="en-US" w:eastAsia="ar-SA"/>
              </w:rPr>
            </w:pPr>
            <w:r w:rsidRPr="00916462">
              <w:rPr>
                <w:rFonts w:asciiTheme="majorHAnsi" w:eastAsia="Times New Roman" w:hAnsiTheme="majorHAnsi" w:cstheme="majorHAnsi"/>
                <w:lang w:val="en-US" w:eastAsia="ar-SA"/>
              </w:rPr>
              <w:t>Ensure that all individual settings within the Witherslack Group can meet the special educational needs of referred children and young people at the point of admission.</w:t>
            </w:r>
          </w:p>
        </w:tc>
      </w:tr>
      <w:tr w:rsidR="00916462" w:rsidRPr="00916462" w:rsidTr="007A375A">
        <w:tc>
          <w:tcPr>
            <w:tcW w:w="709" w:type="dxa"/>
          </w:tcPr>
          <w:p w:rsidR="00916462" w:rsidRPr="00916462" w:rsidRDefault="00916462" w:rsidP="00DC0DBF">
            <w:pPr>
              <w:rPr>
                <w:rFonts w:asciiTheme="majorHAnsi" w:hAnsiTheme="majorHAnsi" w:cstheme="majorHAnsi"/>
                <w:b/>
                <w:sz w:val="24"/>
                <w:szCs w:val="24"/>
              </w:rPr>
            </w:pPr>
            <w:r w:rsidRPr="00916462">
              <w:rPr>
                <w:rFonts w:asciiTheme="majorHAnsi" w:hAnsiTheme="majorHAnsi" w:cstheme="majorHAnsi"/>
                <w:b/>
                <w:sz w:val="24"/>
                <w:szCs w:val="24"/>
              </w:rPr>
              <w:t>3.2</w:t>
            </w:r>
          </w:p>
        </w:tc>
        <w:tc>
          <w:tcPr>
            <w:tcW w:w="9781" w:type="dxa"/>
          </w:tcPr>
          <w:p w:rsidR="00916462" w:rsidRPr="00916462" w:rsidRDefault="00916462" w:rsidP="00CC7D8C">
            <w:pPr>
              <w:suppressAutoHyphens/>
              <w:spacing w:after="120"/>
              <w:jc w:val="both"/>
              <w:rPr>
                <w:rFonts w:asciiTheme="majorHAnsi" w:eastAsia="Times New Roman" w:hAnsiTheme="majorHAnsi" w:cstheme="majorHAnsi"/>
                <w:lang w:val="en-US" w:eastAsia="ar-SA"/>
              </w:rPr>
            </w:pPr>
            <w:r w:rsidRPr="00916462">
              <w:rPr>
                <w:rFonts w:asciiTheme="majorHAnsi" w:eastAsia="Times New Roman" w:hAnsiTheme="majorHAnsi" w:cstheme="majorHAnsi"/>
                <w:lang w:val="en-US" w:eastAsia="ar-SA"/>
              </w:rPr>
              <w:t>Ensure that each individual referral is dealt with efficiently and within the required timescales.</w:t>
            </w:r>
          </w:p>
        </w:tc>
      </w:tr>
      <w:tr w:rsidR="00916462" w:rsidRPr="00916462" w:rsidTr="007A375A">
        <w:tc>
          <w:tcPr>
            <w:tcW w:w="709" w:type="dxa"/>
          </w:tcPr>
          <w:p w:rsidR="00916462" w:rsidRPr="00916462" w:rsidRDefault="00916462" w:rsidP="00DC0DBF">
            <w:pPr>
              <w:rPr>
                <w:rFonts w:asciiTheme="majorHAnsi" w:hAnsiTheme="majorHAnsi" w:cstheme="majorHAnsi"/>
                <w:b/>
                <w:sz w:val="24"/>
                <w:szCs w:val="24"/>
              </w:rPr>
            </w:pPr>
            <w:r w:rsidRPr="00916462">
              <w:rPr>
                <w:rFonts w:asciiTheme="majorHAnsi" w:hAnsiTheme="majorHAnsi" w:cstheme="majorHAnsi"/>
                <w:b/>
                <w:sz w:val="24"/>
                <w:szCs w:val="24"/>
              </w:rPr>
              <w:t>3.3</w:t>
            </w:r>
          </w:p>
        </w:tc>
        <w:tc>
          <w:tcPr>
            <w:tcW w:w="9781" w:type="dxa"/>
          </w:tcPr>
          <w:p w:rsidR="00916462" w:rsidRPr="00916462" w:rsidRDefault="00916462" w:rsidP="00CC7D8C">
            <w:pPr>
              <w:suppressAutoHyphens/>
              <w:spacing w:after="120"/>
              <w:jc w:val="both"/>
              <w:rPr>
                <w:rFonts w:asciiTheme="majorHAnsi" w:eastAsia="Times New Roman" w:hAnsiTheme="majorHAnsi" w:cstheme="majorHAnsi"/>
                <w:lang w:val="en-US" w:eastAsia="ar-SA"/>
              </w:rPr>
            </w:pPr>
            <w:r w:rsidRPr="00916462">
              <w:rPr>
                <w:rFonts w:asciiTheme="majorHAnsi" w:eastAsia="Times New Roman" w:hAnsiTheme="majorHAnsi" w:cstheme="majorHAnsi"/>
                <w:lang w:val="en-US" w:eastAsia="ar-SA"/>
              </w:rPr>
              <w:t>Provide a transparent process for referral of prospective children and young people.</w:t>
            </w:r>
          </w:p>
        </w:tc>
      </w:tr>
      <w:tr w:rsidR="00916462" w:rsidRPr="00916462" w:rsidTr="007A375A">
        <w:tc>
          <w:tcPr>
            <w:tcW w:w="709" w:type="dxa"/>
          </w:tcPr>
          <w:p w:rsidR="00916462" w:rsidRPr="00916462" w:rsidRDefault="00916462" w:rsidP="00DC0DBF">
            <w:pPr>
              <w:rPr>
                <w:rFonts w:asciiTheme="majorHAnsi" w:hAnsiTheme="majorHAnsi" w:cstheme="majorHAnsi"/>
                <w:b/>
                <w:sz w:val="24"/>
                <w:szCs w:val="24"/>
              </w:rPr>
            </w:pPr>
            <w:r w:rsidRPr="00916462">
              <w:rPr>
                <w:rFonts w:asciiTheme="majorHAnsi" w:hAnsiTheme="majorHAnsi" w:cstheme="majorHAnsi"/>
                <w:b/>
                <w:sz w:val="24"/>
                <w:szCs w:val="24"/>
              </w:rPr>
              <w:t>3.4</w:t>
            </w:r>
          </w:p>
        </w:tc>
        <w:tc>
          <w:tcPr>
            <w:tcW w:w="9781" w:type="dxa"/>
          </w:tcPr>
          <w:p w:rsidR="00916462" w:rsidRPr="00916462" w:rsidRDefault="00916462" w:rsidP="00CC7D8C">
            <w:pPr>
              <w:suppressAutoHyphens/>
              <w:spacing w:after="120"/>
              <w:jc w:val="both"/>
              <w:rPr>
                <w:rFonts w:asciiTheme="majorHAnsi" w:eastAsia="Times New Roman" w:hAnsiTheme="majorHAnsi" w:cstheme="majorHAnsi"/>
                <w:lang w:val="en-US" w:eastAsia="ar-SA"/>
              </w:rPr>
            </w:pPr>
            <w:r w:rsidRPr="00916462">
              <w:rPr>
                <w:rFonts w:asciiTheme="majorHAnsi" w:eastAsia="Times New Roman" w:hAnsiTheme="majorHAnsi" w:cstheme="majorHAnsi"/>
                <w:lang w:val="en-US" w:eastAsia="ar-SA"/>
              </w:rPr>
              <w:t>Ensure each setting has a structured and supportive admission and induction procedure for new children and young people.</w:t>
            </w:r>
          </w:p>
        </w:tc>
      </w:tr>
      <w:tr w:rsidR="00916462" w:rsidRPr="00916462" w:rsidTr="007A375A">
        <w:tc>
          <w:tcPr>
            <w:tcW w:w="709" w:type="dxa"/>
          </w:tcPr>
          <w:p w:rsidR="00916462" w:rsidRPr="00916462" w:rsidRDefault="00916462" w:rsidP="00DC0DBF">
            <w:pPr>
              <w:rPr>
                <w:rFonts w:asciiTheme="majorHAnsi" w:hAnsiTheme="majorHAnsi" w:cstheme="majorHAnsi"/>
                <w:b/>
                <w:sz w:val="24"/>
                <w:szCs w:val="24"/>
              </w:rPr>
            </w:pPr>
            <w:r w:rsidRPr="00916462">
              <w:rPr>
                <w:rFonts w:asciiTheme="majorHAnsi" w:hAnsiTheme="majorHAnsi" w:cstheme="majorHAnsi"/>
                <w:b/>
                <w:sz w:val="24"/>
                <w:szCs w:val="24"/>
              </w:rPr>
              <w:t>3.5</w:t>
            </w:r>
          </w:p>
        </w:tc>
        <w:tc>
          <w:tcPr>
            <w:tcW w:w="9781" w:type="dxa"/>
          </w:tcPr>
          <w:p w:rsidR="00916462" w:rsidRPr="00916462" w:rsidRDefault="00916462" w:rsidP="00CC7D8C">
            <w:pPr>
              <w:suppressAutoHyphens/>
              <w:spacing w:after="120"/>
              <w:jc w:val="both"/>
              <w:rPr>
                <w:rFonts w:asciiTheme="majorHAnsi" w:eastAsia="Times New Roman" w:hAnsiTheme="majorHAnsi" w:cstheme="majorHAnsi"/>
                <w:lang w:val="en-US" w:eastAsia="ar-SA"/>
              </w:rPr>
            </w:pPr>
            <w:r w:rsidRPr="00916462">
              <w:rPr>
                <w:rFonts w:asciiTheme="majorHAnsi" w:eastAsia="Times New Roman" w:hAnsiTheme="majorHAnsi" w:cstheme="majorHAnsi"/>
                <w:lang w:val="en-US" w:eastAsia="ar-SA"/>
              </w:rPr>
              <w:t>To ensure the future destination of all pupils is verified as correct, and where not for pupils of school age, inform the local authority in a timely manner.</w:t>
            </w:r>
          </w:p>
        </w:tc>
      </w:tr>
      <w:tr w:rsidR="00916462" w:rsidRPr="00916462" w:rsidTr="007A375A">
        <w:tc>
          <w:tcPr>
            <w:tcW w:w="709" w:type="dxa"/>
          </w:tcPr>
          <w:p w:rsidR="00916462" w:rsidRPr="00916462" w:rsidRDefault="00916462" w:rsidP="00DC0DBF">
            <w:pPr>
              <w:rPr>
                <w:rFonts w:asciiTheme="majorHAnsi" w:hAnsiTheme="majorHAnsi" w:cstheme="majorHAnsi"/>
                <w:b/>
                <w:sz w:val="24"/>
                <w:szCs w:val="24"/>
              </w:rPr>
            </w:pPr>
          </w:p>
        </w:tc>
        <w:tc>
          <w:tcPr>
            <w:tcW w:w="9781" w:type="dxa"/>
          </w:tcPr>
          <w:p w:rsidR="00916462" w:rsidRPr="00916462" w:rsidRDefault="00916462" w:rsidP="00CC7D8C">
            <w:pPr>
              <w:suppressAutoHyphens/>
              <w:spacing w:after="120"/>
              <w:jc w:val="both"/>
              <w:rPr>
                <w:rFonts w:asciiTheme="majorHAnsi" w:eastAsia="Times New Roman" w:hAnsiTheme="majorHAnsi" w:cstheme="majorHAnsi"/>
                <w:lang w:val="en-US" w:eastAsia="ar-SA"/>
              </w:rPr>
            </w:pPr>
          </w:p>
        </w:tc>
      </w:tr>
      <w:tr w:rsidR="00D250DB" w:rsidRPr="00916462" w:rsidTr="007A375A">
        <w:tc>
          <w:tcPr>
            <w:tcW w:w="709" w:type="dxa"/>
          </w:tcPr>
          <w:p w:rsidR="00D250DB"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4</w:t>
            </w:r>
            <w:r w:rsidR="007A375A">
              <w:rPr>
                <w:rFonts w:asciiTheme="majorHAnsi" w:hAnsiTheme="majorHAnsi" w:cstheme="majorHAnsi"/>
                <w:b/>
                <w:sz w:val="24"/>
                <w:szCs w:val="24"/>
              </w:rPr>
              <w:t>.</w:t>
            </w:r>
          </w:p>
        </w:tc>
        <w:tc>
          <w:tcPr>
            <w:tcW w:w="9781" w:type="dxa"/>
          </w:tcPr>
          <w:p w:rsidR="00D250DB"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IN THIS ESTABLISHMENT WE WILL</w:t>
            </w:r>
          </w:p>
        </w:tc>
      </w:tr>
      <w:tr w:rsidR="00916462" w:rsidRPr="00916462" w:rsidTr="007A375A">
        <w:tc>
          <w:tcPr>
            <w:tcW w:w="709" w:type="dxa"/>
          </w:tcPr>
          <w:p w:rsidR="00916462" w:rsidRPr="00916462" w:rsidRDefault="00916462" w:rsidP="00DC0DBF">
            <w:pPr>
              <w:rPr>
                <w:rFonts w:asciiTheme="majorHAnsi" w:hAnsiTheme="majorHAnsi" w:cstheme="majorHAnsi"/>
                <w:b/>
                <w:sz w:val="24"/>
                <w:szCs w:val="24"/>
              </w:rPr>
            </w:pPr>
            <w:r>
              <w:rPr>
                <w:rFonts w:asciiTheme="majorHAnsi" w:hAnsiTheme="majorHAnsi" w:cstheme="majorHAnsi"/>
                <w:b/>
                <w:sz w:val="24"/>
                <w:szCs w:val="24"/>
              </w:rPr>
              <w:t>4.1</w:t>
            </w:r>
          </w:p>
        </w:tc>
        <w:tc>
          <w:tcPr>
            <w:tcW w:w="9781" w:type="dxa"/>
          </w:tcPr>
          <w:p w:rsidR="00916462" w:rsidRPr="00916462" w:rsidRDefault="00916462" w:rsidP="00DC0DBF">
            <w:pPr>
              <w:rPr>
                <w:rFonts w:asciiTheme="majorHAnsi" w:hAnsiTheme="majorHAnsi" w:cstheme="majorHAnsi"/>
              </w:rPr>
            </w:pPr>
            <w:r w:rsidRPr="00916462">
              <w:rPr>
                <w:rFonts w:asciiTheme="majorHAnsi" w:hAnsiTheme="majorHAnsi" w:cstheme="majorHAnsi"/>
              </w:rPr>
              <w:t>Adhere to Witherslack Group’s referral and admissions protocols and where applicable the requirements of inclusion in Section 41 listing.</w:t>
            </w:r>
          </w:p>
        </w:tc>
      </w:tr>
      <w:tr w:rsidR="00D250DB" w:rsidRPr="00916462" w:rsidTr="007A375A">
        <w:tc>
          <w:tcPr>
            <w:tcW w:w="709" w:type="dxa"/>
          </w:tcPr>
          <w:p w:rsidR="00D250DB" w:rsidRPr="00916462" w:rsidRDefault="00916462" w:rsidP="00DC0DBF">
            <w:pPr>
              <w:rPr>
                <w:rFonts w:asciiTheme="majorHAnsi" w:hAnsiTheme="majorHAnsi" w:cstheme="majorHAnsi"/>
                <w:b/>
                <w:sz w:val="24"/>
                <w:szCs w:val="24"/>
              </w:rPr>
            </w:pPr>
            <w:r>
              <w:rPr>
                <w:rFonts w:asciiTheme="majorHAnsi" w:hAnsiTheme="majorHAnsi" w:cstheme="majorHAnsi"/>
                <w:b/>
                <w:sz w:val="24"/>
                <w:szCs w:val="24"/>
              </w:rPr>
              <w:t>4.2</w:t>
            </w:r>
          </w:p>
        </w:tc>
        <w:tc>
          <w:tcPr>
            <w:tcW w:w="9781" w:type="dxa"/>
          </w:tcPr>
          <w:p w:rsidR="00CC7D8C" w:rsidRPr="007A375A" w:rsidRDefault="00CC7D8C" w:rsidP="00100728">
            <w:pPr>
              <w:rPr>
                <w:rFonts w:asciiTheme="majorHAnsi" w:hAnsiTheme="majorHAnsi" w:cstheme="majorHAnsi"/>
                <w:lang w:val="en-US"/>
              </w:rPr>
            </w:pPr>
            <w:r w:rsidRPr="007A375A">
              <w:rPr>
                <w:rFonts w:asciiTheme="majorHAnsi" w:hAnsiTheme="majorHAnsi" w:cstheme="majorHAnsi"/>
                <w:lang w:val="en-US"/>
              </w:rPr>
              <w:t>Ensure that all referrals are handled in a timely and professional manner.  The process for referral handling is: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The Local Authority makes a referral to the school admissions team.  The referral will usually include a young person’s Education, Health and Care Plan and other relevant reports.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The team will review the documents and establish if the feel the school can meet the child or young person’s needs.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The team will contact the local authority and parents/carers to invite the child or young person to visit the school.</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During the visit the child or young person will have a tour of the school and meet the head teacher and other members of staff as appropriate.</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lastRenderedPageBreak/>
              <w:t>Following a successful school visit an offer of a placement with a  suggested start date will be sent to the Local Authority.</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Upon acceptance of the placement by the Local Authority, parents/carers will be advised and a home visit will be arranged.</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Transition details and start date will then be confirmed.</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 xml:space="preserve">Publish a Prospectus/Statement of Purpose that fulfills the requirements of specific regulations and includes: </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name, address, and website address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named contact person</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school roll, age range, primary or secondary, mixed or single sex, day or boarding</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the classification of the school</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any  specialism catered for (e.g. SEMH/Complex Needs)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admissions procedure description for the setting</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Have the Prospectus/Statement of Purpose available for distribution and on the website without charge to parents/carers on request and for reference by parents/carers and other stakeholders.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that the special educational needs outlined in the child/young person’s Education, Health and Care Plan or other records can be met within the resources of the individual setting, or with the provision of additional resources.</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that any additional required resources can reasonably be provided.</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that pre admission school and home visits are carried out effectively.</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that post admission placement meetings are informed by up to date detailed assessment and information.</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that a post admission review takes place within twelve weeks. This meeting should endorse the placement and agree the details of an individual’s Positive Behaviour Support Plan.  All stakeholders should be invited to participate in this meeting.</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that an individual risk assessment is conducted where possible prior to admission or upon admission and is reviewed as part of the post admission review and regularly thereafter.</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Have in place a systematic approach for keeping admission records, in line with current legislation.</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 xml:space="preserve">Ensure that all relevant documentation (contracts, permissions etc.) have been signed by the appropriate Local Authority personnel/parent/guardian </w:t>
            </w:r>
            <w:r w:rsidRPr="007A375A">
              <w:rPr>
                <w:rFonts w:asciiTheme="majorHAnsi" w:hAnsiTheme="majorHAnsi" w:cstheme="majorHAnsi"/>
                <w:b/>
                <w:lang w:val="en-US"/>
              </w:rPr>
              <w:t>prior</w:t>
            </w:r>
            <w:r w:rsidRPr="007A375A">
              <w:rPr>
                <w:rFonts w:asciiTheme="majorHAnsi" w:hAnsiTheme="majorHAnsi" w:cstheme="majorHAnsi"/>
                <w:lang w:val="en-US"/>
              </w:rPr>
              <w:t xml:space="preserve"> to admission of the child or young person.</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Ensure in admitting a child/young person that prior to the end of the post admission period (usually up to 12 weeks) they have identified and completed:</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Contractual arrangements between the school and the placing Authority through completed National Schools Contracts and funding agreement letter.</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The identification of those special educational needs this school is equipped to cater for.</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Base line information and assessment details  to be presented in advance of post admission review.</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Information stating what needs to be in place before a new child/young person can be admitted.</w:t>
            </w:r>
          </w:p>
          <w:p w:rsidR="00CC7D8C" w:rsidRPr="007A375A" w:rsidRDefault="00CC7D8C" w:rsidP="00CC7D8C">
            <w:pPr>
              <w:pStyle w:val="ListParagraph"/>
              <w:numPr>
                <w:ilvl w:val="0"/>
                <w:numId w:val="5"/>
              </w:numPr>
              <w:rPr>
                <w:rFonts w:asciiTheme="majorHAnsi" w:hAnsiTheme="majorHAnsi" w:cstheme="majorHAnsi"/>
                <w:lang w:val="en-US"/>
              </w:rPr>
            </w:pPr>
            <w:r w:rsidRPr="007A375A">
              <w:rPr>
                <w:rFonts w:asciiTheme="majorHAnsi" w:hAnsiTheme="majorHAnsi" w:cstheme="majorHAnsi"/>
                <w:lang w:val="en-US"/>
              </w:rPr>
              <w:t>An  induction process for  a new child/young person.</w:t>
            </w:r>
          </w:p>
          <w:p w:rsidR="00100728" w:rsidRPr="007A375A" w:rsidRDefault="00CC7D8C" w:rsidP="007A375A">
            <w:pPr>
              <w:pStyle w:val="ListParagraph"/>
              <w:numPr>
                <w:ilvl w:val="0"/>
                <w:numId w:val="5"/>
              </w:numPr>
              <w:ind w:left="714" w:hanging="357"/>
              <w:rPr>
                <w:rFonts w:asciiTheme="majorHAnsi" w:hAnsiTheme="majorHAnsi" w:cstheme="majorHAnsi"/>
              </w:rPr>
            </w:pPr>
            <w:r w:rsidRPr="007A375A">
              <w:rPr>
                <w:rFonts w:asciiTheme="majorHAnsi" w:hAnsiTheme="majorHAnsi" w:cstheme="majorHAnsi"/>
                <w:lang w:val="en-US"/>
              </w:rPr>
              <w:t>A system that identifies the resources and expertise required to meet the child/young person’s individual needs (IEP’s/PBS/YPRA).</w:t>
            </w:r>
          </w:p>
        </w:tc>
      </w:tr>
      <w:tr w:rsidR="00D250DB" w:rsidRPr="00916462" w:rsidTr="007A375A">
        <w:tc>
          <w:tcPr>
            <w:tcW w:w="709" w:type="dxa"/>
          </w:tcPr>
          <w:p w:rsidR="00D250DB" w:rsidRPr="00916462" w:rsidRDefault="00D250DB" w:rsidP="00DC0DBF">
            <w:pPr>
              <w:rPr>
                <w:rFonts w:asciiTheme="majorHAnsi" w:hAnsiTheme="majorHAnsi" w:cstheme="majorHAnsi"/>
                <w:b/>
                <w:sz w:val="24"/>
                <w:szCs w:val="24"/>
              </w:rPr>
            </w:pPr>
          </w:p>
        </w:tc>
        <w:tc>
          <w:tcPr>
            <w:tcW w:w="9781" w:type="dxa"/>
          </w:tcPr>
          <w:p w:rsidR="00D250DB" w:rsidRPr="007A375A" w:rsidRDefault="00D250DB" w:rsidP="00DC0DBF">
            <w:pPr>
              <w:rPr>
                <w:rFonts w:asciiTheme="majorHAnsi" w:hAnsiTheme="majorHAnsi" w:cstheme="majorHAnsi"/>
                <w:sz w:val="24"/>
                <w:szCs w:val="24"/>
              </w:rPr>
            </w:pPr>
          </w:p>
        </w:tc>
      </w:tr>
      <w:tr w:rsidR="00CC7D8C" w:rsidRPr="00916462" w:rsidTr="007A375A">
        <w:tc>
          <w:tcPr>
            <w:tcW w:w="709" w:type="dxa"/>
          </w:tcPr>
          <w:p w:rsidR="00CC7D8C" w:rsidRPr="00916462" w:rsidRDefault="00CC7D8C" w:rsidP="00DC0DBF">
            <w:pPr>
              <w:rPr>
                <w:rFonts w:asciiTheme="majorHAnsi" w:hAnsiTheme="majorHAnsi" w:cstheme="majorHAnsi"/>
                <w:b/>
                <w:sz w:val="24"/>
                <w:szCs w:val="24"/>
              </w:rPr>
            </w:pPr>
            <w:r w:rsidRPr="00916462">
              <w:rPr>
                <w:rFonts w:asciiTheme="majorHAnsi" w:hAnsiTheme="majorHAnsi" w:cstheme="majorHAnsi"/>
                <w:b/>
                <w:sz w:val="24"/>
                <w:szCs w:val="24"/>
              </w:rPr>
              <w:t>5</w:t>
            </w:r>
            <w:r w:rsidR="007A375A">
              <w:rPr>
                <w:rFonts w:asciiTheme="majorHAnsi" w:hAnsiTheme="majorHAnsi" w:cstheme="majorHAnsi"/>
                <w:b/>
                <w:sz w:val="24"/>
                <w:szCs w:val="24"/>
              </w:rPr>
              <w:t>.</w:t>
            </w:r>
          </w:p>
        </w:tc>
        <w:tc>
          <w:tcPr>
            <w:tcW w:w="9781" w:type="dxa"/>
          </w:tcPr>
          <w:p w:rsidR="00CC7D8C" w:rsidRPr="007A375A" w:rsidRDefault="007A375A" w:rsidP="00DC0DBF">
            <w:pPr>
              <w:rPr>
                <w:rFonts w:asciiTheme="majorHAnsi" w:hAnsiTheme="majorHAnsi" w:cstheme="majorHAnsi"/>
                <w:b/>
                <w:sz w:val="24"/>
                <w:szCs w:val="24"/>
              </w:rPr>
            </w:pPr>
            <w:r w:rsidRPr="007A375A">
              <w:rPr>
                <w:rFonts w:asciiTheme="majorHAnsi" w:hAnsiTheme="majorHAnsi" w:cstheme="majorHAnsi"/>
                <w:b/>
                <w:sz w:val="24"/>
                <w:szCs w:val="24"/>
              </w:rPr>
              <w:t>ADMISSIONS REGISTER</w:t>
            </w:r>
          </w:p>
        </w:tc>
      </w:tr>
      <w:tr w:rsidR="00CC7D8C" w:rsidRPr="00916462" w:rsidTr="007A375A">
        <w:tc>
          <w:tcPr>
            <w:tcW w:w="709" w:type="dxa"/>
          </w:tcPr>
          <w:p w:rsidR="00CC7D8C" w:rsidRPr="00916462" w:rsidRDefault="00CC7D8C" w:rsidP="00DC0DBF">
            <w:pPr>
              <w:rPr>
                <w:rFonts w:asciiTheme="majorHAnsi" w:hAnsiTheme="majorHAnsi" w:cstheme="majorHAnsi"/>
                <w:b/>
                <w:sz w:val="24"/>
                <w:szCs w:val="24"/>
              </w:rPr>
            </w:pPr>
            <w:r w:rsidRPr="00916462">
              <w:rPr>
                <w:rFonts w:asciiTheme="majorHAnsi" w:hAnsiTheme="majorHAnsi" w:cstheme="majorHAnsi"/>
                <w:b/>
                <w:sz w:val="24"/>
                <w:szCs w:val="24"/>
              </w:rPr>
              <w:t>5.1</w:t>
            </w:r>
          </w:p>
        </w:tc>
        <w:tc>
          <w:tcPr>
            <w:tcW w:w="9781" w:type="dxa"/>
          </w:tcPr>
          <w:p w:rsidR="00A524AC" w:rsidRPr="007A375A" w:rsidRDefault="00A524AC" w:rsidP="00A524AC">
            <w:pPr>
              <w:tabs>
                <w:tab w:val="num" w:pos="0"/>
              </w:tabs>
              <w:spacing w:after="240"/>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The school keeps an admission register which contains an index in alphabetical order of all the pupils at the school and the following information about each pupil:</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pupil number (UPNS)</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name in full</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gender</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the name and address of every person known to the school to be a parent of the pupil and, against the entry on the register of the particulars of any parent with whom the pupil normally resides, an indication of that fact and an emergency telephone number</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lastRenderedPageBreak/>
              <w:t>day, month and year of birth</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day, month and year of admission or re-admission to the school</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name and address of the school last attended, if any</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leave date when applicable</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eastAsia="Times New Roman" w:hAnsiTheme="majorHAnsi" w:cstheme="majorHAnsi"/>
                <w:color w:val="000000"/>
              </w:rPr>
              <w:t>leaving destination</w:t>
            </w:r>
          </w:p>
          <w:p w:rsidR="00A524AC" w:rsidRPr="007A375A" w:rsidRDefault="00A524AC" w:rsidP="00A524AC">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hAnsiTheme="majorHAnsi" w:cstheme="majorHAnsi"/>
              </w:rPr>
              <w:t>that when a leaving pupil’s destination is given as another school, the school has verified this new school as a legally registered provider</w:t>
            </w:r>
          </w:p>
          <w:p w:rsidR="00100728" w:rsidRPr="007A375A" w:rsidRDefault="00A524AC" w:rsidP="000B43BF">
            <w:pPr>
              <w:pStyle w:val="ListParagraph"/>
              <w:numPr>
                <w:ilvl w:val="0"/>
                <w:numId w:val="11"/>
              </w:numPr>
              <w:spacing w:before="120"/>
              <w:ind w:left="782" w:hanging="425"/>
              <w:jc w:val="both"/>
              <w:rPr>
                <w:rFonts w:asciiTheme="majorHAnsi" w:eastAsia="Times New Roman" w:hAnsiTheme="majorHAnsi" w:cstheme="majorHAnsi"/>
                <w:color w:val="000000"/>
              </w:rPr>
            </w:pPr>
            <w:r w:rsidRPr="007A375A">
              <w:rPr>
                <w:rFonts w:asciiTheme="majorHAnsi" w:hAnsiTheme="majorHAnsi" w:cstheme="majorHAnsi"/>
              </w:rPr>
              <w:t>that where the leaving pupil’s educational destination is unknown, or is not given as a legally registered school, this has been reported to the local authority in a timely manner</w:t>
            </w:r>
          </w:p>
        </w:tc>
      </w:tr>
      <w:tr w:rsidR="000B43BF" w:rsidRPr="00916462" w:rsidTr="007A375A">
        <w:tc>
          <w:tcPr>
            <w:tcW w:w="709" w:type="dxa"/>
          </w:tcPr>
          <w:p w:rsidR="000B43BF" w:rsidRPr="00916462" w:rsidRDefault="000B43BF" w:rsidP="00DC0DBF">
            <w:pPr>
              <w:rPr>
                <w:rFonts w:asciiTheme="majorHAnsi" w:hAnsiTheme="majorHAnsi" w:cstheme="majorHAnsi"/>
                <w:b/>
                <w:sz w:val="24"/>
                <w:szCs w:val="24"/>
              </w:rPr>
            </w:pPr>
            <w:r>
              <w:rPr>
                <w:rFonts w:asciiTheme="majorHAnsi" w:hAnsiTheme="majorHAnsi" w:cstheme="majorHAnsi"/>
                <w:b/>
                <w:sz w:val="24"/>
                <w:szCs w:val="24"/>
              </w:rPr>
              <w:lastRenderedPageBreak/>
              <w:t>5.2</w:t>
            </w:r>
          </w:p>
        </w:tc>
        <w:tc>
          <w:tcPr>
            <w:tcW w:w="9781" w:type="dxa"/>
          </w:tcPr>
          <w:p w:rsidR="000B43BF" w:rsidRPr="000B43BF" w:rsidRDefault="000B43BF" w:rsidP="000B43BF">
            <w:pPr>
              <w:pStyle w:val="NoSpacing"/>
              <w:rPr>
                <w:rFonts w:asciiTheme="majorHAnsi" w:hAnsiTheme="majorHAnsi" w:cstheme="majorHAnsi"/>
              </w:rPr>
            </w:pPr>
            <w:r w:rsidRPr="000B43BF">
              <w:rPr>
                <w:rFonts w:asciiTheme="majorHAnsi" w:hAnsiTheme="majorHAnsi" w:cstheme="majorHAnsi"/>
              </w:rPr>
              <w:t>The admission register will be kept on the school database and updated as required.</w:t>
            </w:r>
          </w:p>
        </w:tc>
      </w:tr>
      <w:tr w:rsidR="00A524AC" w:rsidRPr="00916462" w:rsidTr="007A375A">
        <w:tc>
          <w:tcPr>
            <w:tcW w:w="709" w:type="dxa"/>
          </w:tcPr>
          <w:p w:rsidR="00A524AC" w:rsidRPr="00916462" w:rsidRDefault="00A524AC" w:rsidP="00DC0DBF">
            <w:pPr>
              <w:rPr>
                <w:rFonts w:asciiTheme="majorHAnsi" w:hAnsiTheme="majorHAnsi" w:cstheme="majorHAnsi"/>
                <w:b/>
                <w:sz w:val="24"/>
                <w:szCs w:val="24"/>
              </w:rPr>
            </w:pPr>
          </w:p>
        </w:tc>
        <w:tc>
          <w:tcPr>
            <w:tcW w:w="9781" w:type="dxa"/>
          </w:tcPr>
          <w:p w:rsidR="00A524AC" w:rsidRPr="00916462" w:rsidRDefault="00A524AC" w:rsidP="00DC0DBF">
            <w:pPr>
              <w:rPr>
                <w:rFonts w:asciiTheme="majorHAnsi" w:hAnsiTheme="majorHAnsi" w:cstheme="majorHAnsi"/>
                <w:sz w:val="24"/>
                <w:szCs w:val="24"/>
              </w:rPr>
            </w:pPr>
          </w:p>
        </w:tc>
      </w:tr>
      <w:tr w:rsidR="00CC7D8C" w:rsidRPr="00916462" w:rsidTr="007A375A">
        <w:tc>
          <w:tcPr>
            <w:tcW w:w="709" w:type="dxa"/>
          </w:tcPr>
          <w:p w:rsidR="00CC7D8C" w:rsidRPr="00916462" w:rsidRDefault="00CC7D8C" w:rsidP="00DC0DBF">
            <w:pPr>
              <w:rPr>
                <w:rFonts w:asciiTheme="majorHAnsi" w:hAnsiTheme="majorHAnsi" w:cstheme="majorHAnsi"/>
                <w:b/>
                <w:sz w:val="24"/>
                <w:szCs w:val="24"/>
              </w:rPr>
            </w:pPr>
            <w:r w:rsidRPr="00916462">
              <w:rPr>
                <w:rFonts w:asciiTheme="majorHAnsi" w:hAnsiTheme="majorHAnsi" w:cstheme="majorHAnsi"/>
                <w:b/>
                <w:sz w:val="24"/>
                <w:szCs w:val="24"/>
              </w:rPr>
              <w:t>6</w:t>
            </w:r>
            <w:r w:rsidR="007A375A">
              <w:rPr>
                <w:rFonts w:asciiTheme="majorHAnsi" w:hAnsiTheme="majorHAnsi" w:cstheme="majorHAnsi"/>
                <w:b/>
                <w:sz w:val="24"/>
                <w:szCs w:val="24"/>
              </w:rPr>
              <w:t>.</w:t>
            </w:r>
          </w:p>
        </w:tc>
        <w:tc>
          <w:tcPr>
            <w:tcW w:w="9781" w:type="dxa"/>
          </w:tcPr>
          <w:p w:rsidR="00CC7D8C" w:rsidRPr="00916462" w:rsidRDefault="00C34558" w:rsidP="00DC0DBF">
            <w:pPr>
              <w:rPr>
                <w:rFonts w:asciiTheme="majorHAnsi" w:hAnsiTheme="majorHAnsi" w:cstheme="majorHAnsi"/>
                <w:b/>
                <w:sz w:val="24"/>
                <w:szCs w:val="24"/>
              </w:rPr>
            </w:pPr>
            <w:r w:rsidRPr="00916462">
              <w:rPr>
                <w:rFonts w:asciiTheme="majorHAnsi" w:hAnsiTheme="majorHAnsi" w:cstheme="majorHAnsi"/>
                <w:b/>
                <w:sz w:val="24"/>
                <w:szCs w:val="24"/>
              </w:rPr>
              <w:t>ADDITIONAL</w:t>
            </w:r>
          </w:p>
        </w:tc>
      </w:tr>
      <w:tr w:rsidR="00A524AC" w:rsidRPr="00916462" w:rsidTr="007A375A">
        <w:tc>
          <w:tcPr>
            <w:tcW w:w="709" w:type="dxa"/>
          </w:tcPr>
          <w:p w:rsidR="00A524AC" w:rsidRPr="00916462" w:rsidRDefault="00A524AC" w:rsidP="00DC0DBF">
            <w:pPr>
              <w:rPr>
                <w:rFonts w:asciiTheme="majorHAnsi" w:hAnsiTheme="majorHAnsi" w:cstheme="majorHAnsi"/>
                <w:b/>
                <w:sz w:val="24"/>
                <w:szCs w:val="24"/>
              </w:rPr>
            </w:pPr>
            <w:r w:rsidRPr="00916462">
              <w:rPr>
                <w:rFonts w:asciiTheme="majorHAnsi" w:hAnsiTheme="majorHAnsi" w:cstheme="majorHAnsi"/>
                <w:b/>
                <w:sz w:val="24"/>
                <w:szCs w:val="24"/>
              </w:rPr>
              <w:t>6.1</w:t>
            </w:r>
          </w:p>
        </w:tc>
        <w:tc>
          <w:tcPr>
            <w:tcW w:w="9781" w:type="dxa"/>
          </w:tcPr>
          <w:p w:rsidR="00A524AC" w:rsidRPr="00916462" w:rsidRDefault="00A524AC" w:rsidP="00A524AC">
            <w:pPr>
              <w:autoSpaceDE w:val="0"/>
              <w:autoSpaceDN w:val="0"/>
              <w:adjustRightInd w:val="0"/>
              <w:jc w:val="both"/>
              <w:rPr>
                <w:rFonts w:asciiTheme="majorHAnsi" w:hAnsiTheme="majorHAnsi" w:cstheme="majorHAnsi"/>
                <w:color w:val="000000"/>
              </w:rPr>
            </w:pPr>
            <w:r w:rsidRPr="00916462">
              <w:rPr>
                <w:rFonts w:asciiTheme="majorHAnsi" w:hAnsiTheme="majorHAnsi" w:cstheme="majorHAnsi"/>
                <w:color w:val="000000"/>
              </w:rPr>
              <w:t xml:space="preserve">We will inform the relevant local authority of any pupil who is going to be deleted from the admission register where they: </w:t>
            </w:r>
          </w:p>
          <w:p w:rsidR="00A524AC" w:rsidRPr="00916462" w:rsidRDefault="00A524AC" w:rsidP="00A524AC">
            <w:pPr>
              <w:autoSpaceDE w:val="0"/>
              <w:autoSpaceDN w:val="0"/>
              <w:adjustRightInd w:val="0"/>
              <w:jc w:val="both"/>
              <w:rPr>
                <w:rFonts w:asciiTheme="majorHAnsi" w:hAnsiTheme="majorHAnsi" w:cstheme="majorHAnsi"/>
                <w:color w:val="000000"/>
              </w:rPr>
            </w:pPr>
          </w:p>
          <w:p w:rsidR="00A524AC" w:rsidRPr="00916462" w:rsidRDefault="00A524AC" w:rsidP="00A524AC">
            <w:pPr>
              <w:pStyle w:val="ListParagraph"/>
              <w:numPr>
                <w:ilvl w:val="0"/>
                <w:numId w:val="12"/>
              </w:numPr>
              <w:autoSpaceDE w:val="0"/>
              <w:autoSpaceDN w:val="0"/>
              <w:adjustRightInd w:val="0"/>
              <w:jc w:val="both"/>
              <w:rPr>
                <w:rFonts w:asciiTheme="majorHAnsi" w:hAnsiTheme="majorHAnsi" w:cstheme="majorHAnsi"/>
                <w:color w:val="000000"/>
              </w:rPr>
            </w:pPr>
            <w:r w:rsidRPr="00916462">
              <w:rPr>
                <w:rFonts w:asciiTheme="majorHAnsi" w:hAnsiTheme="majorHAnsi" w:cstheme="majorHAnsi"/>
                <w:color w:val="000000"/>
              </w:rPr>
              <w:t>have been taken out of school by their parents and are being educated outside the school system e.g. home education</w:t>
            </w:r>
          </w:p>
          <w:p w:rsidR="00A524AC" w:rsidRPr="00916462" w:rsidRDefault="00A524AC" w:rsidP="00A524AC">
            <w:pPr>
              <w:pStyle w:val="ListParagraph"/>
              <w:numPr>
                <w:ilvl w:val="0"/>
                <w:numId w:val="12"/>
              </w:numPr>
              <w:autoSpaceDE w:val="0"/>
              <w:autoSpaceDN w:val="0"/>
              <w:adjustRightInd w:val="0"/>
              <w:jc w:val="both"/>
              <w:rPr>
                <w:rFonts w:asciiTheme="majorHAnsi" w:hAnsiTheme="majorHAnsi" w:cstheme="majorHAnsi"/>
                <w:color w:val="000000"/>
              </w:rPr>
            </w:pPr>
            <w:r w:rsidRPr="00916462">
              <w:rPr>
                <w:rFonts w:asciiTheme="majorHAnsi" w:hAnsiTheme="majorHAnsi" w:cstheme="majorHAnsi"/>
                <w:color w:val="000000"/>
              </w:rPr>
              <w:t>have ceased to attend school</w:t>
            </w:r>
          </w:p>
          <w:p w:rsidR="00A524AC" w:rsidRPr="00916462" w:rsidRDefault="00A524AC" w:rsidP="00A524AC">
            <w:pPr>
              <w:pStyle w:val="ListParagraph"/>
              <w:numPr>
                <w:ilvl w:val="0"/>
                <w:numId w:val="12"/>
              </w:numPr>
              <w:autoSpaceDE w:val="0"/>
              <w:autoSpaceDN w:val="0"/>
              <w:adjustRightInd w:val="0"/>
              <w:jc w:val="both"/>
              <w:rPr>
                <w:rFonts w:asciiTheme="majorHAnsi" w:hAnsiTheme="majorHAnsi" w:cstheme="majorHAnsi"/>
                <w:color w:val="000000"/>
              </w:rPr>
            </w:pPr>
            <w:r w:rsidRPr="00916462">
              <w:rPr>
                <w:rFonts w:asciiTheme="majorHAnsi" w:hAnsiTheme="majorHAnsi" w:cstheme="majorHAnsi"/>
                <w:color w:val="000000"/>
              </w:rPr>
              <w:t>have been certified by the school medical personnel as unlikely to be in a fit state of health to attend school before ceasing to be of compulsory school age, and neither he/she nor his/her parent has indicated the intention to continue to attend the school after ceasing to be of compulsory school age</w:t>
            </w:r>
          </w:p>
          <w:p w:rsidR="00A524AC" w:rsidRPr="00916462" w:rsidRDefault="00A524AC" w:rsidP="00A524AC">
            <w:pPr>
              <w:pStyle w:val="ListParagraph"/>
              <w:numPr>
                <w:ilvl w:val="0"/>
                <w:numId w:val="12"/>
              </w:numPr>
              <w:autoSpaceDE w:val="0"/>
              <w:autoSpaceDN w:val="0"/>
              <w:adjustRightInd w:val="0"/>
              <w:jc w:val="both"/>
              <w:rPr>
                <w:rFonts w:asciiTheme="majorHAnsi" w:hAnsiTheme="majorHAnsi" w:cstheme="majorHAnsi"/>
                <w:color w:val="000000"/>
              </w:rPr>
            </w:pPr>
            <w:r w:rsidRPr="00916462">
              <w:rPr>
                <w:rFonts w:asciiTheme="majorHAnsi" w:hAnsiTheme="majorHAnsi" w:cstheme="majorHAnsi"/>
                <w:color w:val="000000"/>
              </w:rPr>
              <w:t xml:space="preserve">are in custody for a period of more than four months due to a final court order and the proprietor does not reasonably believe they will be returning to the school at the end of that period  </w:t>
            </w:r>
          </w:p>
          <w:p w:rsidR="00100728" w:rsidRPr="000B43BF" w:rsidRDefault="00A524AC" w:rsidP="000B43BF">
            <w:pPr>
              <w:pStyle w:val="ListParagraph"/>
              <w:numPr>
                <w:ilvl w:val="0"/>
                <w:numId w:val="12"/>
              </w:numPr>
              <w:autoSpaceDE w:val="0"/>
              <w:autoSpaceDN w:val="0"/>
              <w:adjustRightInd w:val="0"/>
              <w:jc w:val="both"/>
              <w:rPr>
                <w:rFonts w:asciiTheme="majorHAnsi" w:hAnsiTheme="majorHAnsi" w:cstheme="majorHAnsi"/>
                <w:color w:val="000000"/>
              </w:rPr>
            </w:pPr>
            <w:r w:rsidRPr="00916462">
              <w:rPr>
                <w:rFonts w:asciiTheme="majorHAnsi" w:hAnsiTheme="majorHAnsi" w:cstheme="majorHAnsi"/>
                <w:color w:val="000000"/>
              </w:rPr>
              <w:t>have been permanently excluded</w:t>
            </w:r>
          </w:p>
        </w:tc>
      </w:tr>
      <w:tr w:rsidR="000B43BF" w:rsidRPr="00916462" w:rsidTr="007A375A">
        <w:tc>
          <w:tcPr>
            <w:tcW w:w="709" w:type="dxa"/>
          </w:tcPr>
          <w:p w:rsidR="000B43BF" w:rsidRPr="00916462" w:rsidRDefault="000B43BF" w:rsidP="00DC0DBF">
            <w:pPr>
              <w:rPr>
                <w:rFonts w:asciiTheme="majorHAnsi" w:hAnsiTheme="majorHAnsi" w:cstheme="majorHAnsi"/>
                <w:b/>
                <w:sz w:val="24"/>
                <w:szCs w:val="24"/>
              </w:rPr>
            </w:pPr>
            <w:r>
              <w:rPr>
                <w:rFonts w:asciiTheme="majorHAnsi" w:hAnsiTheme="majorHAnsi" w:cstheme="majorHAnsi"/>
                <w:b/>
                <w:sz w:val="24"/>
                <w:szCs w:val="24"/>
              </w:rPr>
              <w:t>6.2</w:t>
            </w:r>
          </w:p>
        </w:tc>
        <w:tc>
          <w:tcPr>
            <w:tcW w:w="9781" w:type="dxa"/>
          </w:tcPr>
          <w:p w:rsidR="000B43BF" w:rsidRPr="000B43BF" w:rsidRDefault="000B43BF" w:rsidP="00DC0DBF">
            <w:pPr>
              <w:rPr>
                <w:rFonts w:asciiTheme="majorHAnsi" w:hAnsiTheme="majorHAnsi" w:cstheme="majorHAnsi"/>
              </w:rPr>
            </w:pPr>
            <w:r w:rsidRPr="000B43BF">
              <w:rPr>
                <w:rFonts w:asciiTheme="majorHAnsi" w:hAnsiTheme="majorHAnsi" w:cstheme="majorHAnsi"/>
              </w:rPr>
              <w:t>The local authority will be notified when school is to delete a pupil from its register under the above circumstances</w:t>
            </w:r>
            <w:r>
              <w:rPr>
                <w:rFonts w:asciiTheme="majorHAnsi" w:hAnsiTheme="majorHAnsi" w:cstheme="majorHAnsi"/>
              </w:rPr>
              <w:t xml:space="preserve"> (6.1)</w:t>
            </w:r>
            <w:r w:rsidRPr="000B43BF">
              <w:rPr>
                <w:rFonts w:asciiTheme="majorHAnsi" w:hAnsiTheme="majorHAnsi" w:cstheme="majorHAnsi"/>
              </w:rPr>
              <w:t>.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tc>
      </w:tr>
      <w:tr w:rsidR="00A524AC" w:rsidRPr="00916462" w:rsidTr="007A375A">
        <w:tc>
          <w:tcPr>
            <w:tcW w:w="709" w:type="dxa"/>
          </w:tcPr>
          <w:p w:rsidR="00A524AC" w:rsidRPr="00916462" w:rsidRDefault="00A524AC" w:rsidP="00DC0DBF">
            <w:pPr>
              <w:rPr>
                <w:rFonts w:asciiTheme="majorHAnsi" w:hAnsiTheme="majorHAnsi" w:cstheme="majorHAnsi"/>
                <w:b/>
                <w:sz w:val="24"/>
                <w:szCs w:val="24"/>
              </w:rPr>
            </w:pPr>
          </w:p>
        </w:tc>
        <w:tc>
          <w:tcPr>
            <w:tcW w:w="9781" w:type="dxa"/>
          </w:tcPr>
          <w:p w:rsidR="00A524AC" w:rsidRPr="00916462" w:rsidRDefault="00A524AC" w:rsidP="00DC0DBF">
            <w:pPr>
              <w:rPr>
                <w:rFonts w:asciiTheme="majorHAnsi" w:hAnsiTheme="majorHAnsi" w:cstheme="majorHAnsi"/>
                <w:sz w:val="24"/>
                <w:szCs w:val="24"/>
              </w:rPr>
            </w:pPr>
          </w:p>
        </w:tc>
      </w:tr>
      <w:tr w:rsidR="00D250DB" w:rsidRPr="00916462" w:rsidTr="007A375A">
        <w:tc>
          <w:tcPr>
            <w:tcW w:w="709" w:type="dxa"/>
          </w:tcPr>
          <w:p w:rsidR="00D250DB" w:rsidRPr="00916462" w:rsidRDefault="00A524AC" w:rsidP="00DC0DBF">
            <w:pPr>
              <w:rPr>
                <w:rFonts w:asciiTheme="majorHAnsi" w:hAnsiTheme="majorHAnsi" w:cstheme="majorHAnsi"/>
                <w:b/>
                <w:sz w:val="24"/>
                <w:szCs w:val="24"/>
              </w:rPr>
            </w:pPr>
            <w:r w:rsidRPr="00916462">
              <w:rPr>
                <w:rFonts w:asciiTheme="majorHAnsi" w:hAnsiTheme="majorHAnsi" w:cstheme="majorHAnsi"/>
                <w:b/>
                <w:sz w:val="24"/>
                <w:szCs w:val="24"/>
              </w:rPr>
              <w:t>7</w:t>
            </w:r>
            <w:r w:rsidR="007A375A">
              <w:rPr>
                <w:rFonts w:asciiTheme="majorHAnsi" w:hAnsiTheme="majorHAnsi" w:cstheme="majorHAnsi"/>
                <w:b/>
                <w:sz w:val="24"/>
                <w:szCs w:val="24"/>
              </w:rPr>
              <w:t>.</w:t>
            </w:r>
          </w:p>
        </w:tc>
        <w:tc>
          <w:tcPr>
            <w:tcW w:w="9781" w:type="dxa"/>
          </w:tcPr>
          <w:p w:rsidR="00D250DB" w:rsidRPr="00916462" w:rsidRDefault="00D250DB" w:rsidP="00DC0DBF">
            <w:pPr>
              <w:rPr>
                <w:rFonts w:asciiTheme="majorHAnsi" w:hAnsiTheme="majorHAnsi" w:cstheme="majorHAnsi"/>
                <w:b/>
                <w:sz w:val="24"/>
                <w:szCs w:val="24"/>
              </w:rPr>
            </w:pPr>
            <w:r w:rsidRPr="00916462">
              <w:rPr>
                <w:rFonts w:asciiTheme="majorHAnsi" w:hAnsiTheme="majorHAnsi" w:cstheme="majorHAnsi"/>
                <w:b/>
                <w:sz w:val="24"/>
                <w:szCs w:val="24"/>
              </w:rPr>
              <w:t>FURTHER READING</w:t>
            </w:r>
          </w:p>
        </w:tc>
      </w:tr>
      <w:tr w:rsidR="00702354" w:rsidRPr="00916462" w:rsidTr="007A375A">
        <w:tc>
          <w:tcPr>
            <w:tcW w:w="709" w:type="dxa"/>
          </w:tcPr>
          <w:p w:rsidR="00702354" w:rsidRPr="00916462" w:rsidRDefault="00A524AC" w:rsidP="00DC0DBF">
            <w:pPr>
              <w:rPr>
                <w:rFonts w:asciiTheme="majorHAnsi" w:hAnsiTheme="majorHAnsi" w:cstheme="majorHAnsi"/>
                <w:b/>
                <w:sz w:val="24"/>
                <w:szCs w:val="24"/>
              </w:rPr>
            </w:pPr>
            <w:r w:rsidRPr="00916462">
              <w:rPr>
                <w:rFonts w:asciiTheme="majorHAnsi" w:hAnsiTheme="majorHAnsi" w:cstheme="majorHAnsi"/>
                <w:b/>
                <w:sz w:val="24"/>
                <w:szCs w:val="24"/>
              </w:rPr>
              <w:t>7</w:t>
            </w:r>
            <w:r w:rsidR="00702354" w:rsidRPr="00916462">
              <w:rPr>
                <w:rFonts w:asciiTheme="majorHAnsi" w:hAnsiTheme="majorHAnsi" w:cstheme="majorHAnsi"/>
                <w:b/>
                <w:sz w:val="24"/>
                <w:szCs w:val="24"/>
              </w:rPr>
              <w:t>.1</w:t>
            </w:r>
          </w:p>
        </w:tc>
        <w:tc>
          <w:tcPr>
            <w:tcW w:w="9781" w:type="dxa"/>
          </w:tcPr>
          <w:p w:rsidR="00C34558" w:rsidRPr="000B43BF" w:rsidRDefault="00C34558" w:rsidP="000B43BF">
            <w:pPr>
              <w:pStyle w:val="NoSpacing"/>
              <w:rPr>
                <w:rFonts w:asciiTheme="majorHAnsi" w:hAnsiTheme="majorHAnsi" w:cstheme="majorHAnsi"/>
                <w:lang w:val="en-US" w:eastAsia="ar-SA"/>
              </w:rPr>
            </w:pPr>
            <w:r w:rsidRPr="000B43BF">
              <w:rPr>
                <w:rFonts w:asciiTheme="majorHAnsi" w:hAnsiTheme="majorHAnsi" w:cstheme="majorHAnsi"/>
                <w:lang w:val="en-US" w:eastAsia="ar-SA"/>
              </w:rPr>
              <w:t>Admissions Guidance document</w:t>
            </w:r>
          </w:p>
          <w:p w:rsidR="00C34558" w:rsidRPr="000B43BF" w:rsidRDefault="007A375A" w:rsidP="000B43BF">
            <w:pPr>
              <w:pStyle w:val="NoSpacing"/>
              <w:rPr>
                <w:rFonts w:asciiTheme="majorHAnsi" w:hAnsiTheme="majorHAnsi" w:cstheme="majorHAnsi"/>
                <w:lang w:val="en-US" w:eastAsia="ar-SA"/>
              </w:rPr>
            </w:pPr>
            <w:r>
              <w:rPr>
                <w:rFonts w:asciiTheme="majorHAnsi" w:hAnsiTheme="majorHAnsi" w:cstheme="majorHAnsi"/>
                <w:lang w:val="en-US" w:eastAsia="ar-SA"/>
              </w:rPr>
              <w:t xml:space="preserve">School </w:t>
            </w:r>
            <w:r w:rsidR="00C34558" w:rsidRPr="000B43BF">
              <w:rPr>
                <w:rFonts w:asciiTheme="majorHAnsi" w:hAnsiTheme="majorHAnsi" w:cstheme="majorHAnsi"/>
                <w:lang w:val="en-US" w:eastAsia="ar-SA"/>
              </w:rPr>
              <w:t>Prospectus</w:t>
            </w:r>
          </w:p>
          <w:p w:rsidR="00C34558" w:rsidRPr="000B43BF" w:rsidRDefault="00C34558" w:rsidP="000B43BF">
            <w:pPr>
              <w:pStyle w:val="NoSpacing"/>
              <w:rPr>
                <w:rFonts w:asciiTheme="majorHAnsi" w:hAnsiTheme="majorHAnsi" w:cstheme="majorHAnsi"/>
                <w:lang w:val="en-US" w:eastAsia="ar-SA"/>
              </w:rPr>
            </w:pPr>
            <w:r w:rsidRPr="000B43BF">
              <w:rPr>
                <w:rFonts w:asciiTheme="majorHAnsi" w:hAnsiTheme="majorHAnsi" w:cstheme="majorHAnsi"/>
                <w:lang w:val="en-US" w:eastAsia="ar-SA"/>
              </w:rPr>
              <w:t>Education Act</w:t>
            </w:r>
          </w:p>
          <w:p w:rsidR="00702354" w:rsidRPr="00916462" w:rsidRDefault="00C34558" w:rsidP="000B43BF">
            <w:pPr>
              <w:pStyle w:val="NoSpacing"/>
              <w:rPr>
                <w:lang w:val="en-US" w:eastAsia="ar-SA"/>
              </w:rPr>
            </w:pPr>
            <w:r w:rsidRPr="000B43BF">
              <w:rPr>
                <w:rFonts w:asciiTheme="majorHAnsi" w:hAnsiTheme="majorHAnsi" w:cstheme="majorHAnsi"/>
                <w:lang w:val="en-US" w:eastAsia="ar-SA"/>
              </w:rPr>
              <w:t>Section 41 listing</w:t>
            </w:r>
          </w:p>
        </w:tc>
      </w:tr>
      <w:tr w:rsidR="00702354" w:rsidRPr="00916462" w:rsidTr="007A375A">
        <w:tc>
          <w:tcPr>
            <w:tcW w:w="709" w:type="dxa"/>
          </w:tcPr>
          <w:p w:rsidR="00702354" w:rsidRPr="00916462" w:rsidRDefault="00702354" w:rsidP="00DC0DBF">
            <w:pPr>
              <w:rPr>
                <w:rFonts w:asciiTheme="majorHAnsi" w:hAnsiTheme="majorHAnsi" w:cstheme="majorHAnsi"/>
                <w:b/>
                <w:sz w:val="24"/>
                <w:szCs w:val="24"/>
              </w:rPr>
            </w:pPr>
          </w:p>
        </w:tc>
        <w:tc>
          <w:tcPr>
            <w:tcW w:w="9781" w:type="dxa"/>
          </w:tcPr>
          <w:p w:rsidR="00702354" w:rsidRPr="00916462" w:rsidRDefault="00702354" w:rsidP="00702354">
            <w:pPr>
              <w:autoSpaceDE w:val="0"/>
              <w:autoSpaceDN w:val="0"/>
              <w:adjustRightInd w:val="0"/>
              <w:rPr>
                <w:rFonts w:asciiTheme="majorHAnsi" w:eastAsia="Calibri" w:hAnsiTheme="majorHAnsi" w:cstheme="majorHAnsi"/>
              </w:rPr>
            </w:pPr>
          </w:p>
        </w:tc>
      </w:tr>
      <w:tr w:rsidR="00DC0DBF" w:rsidRPr="00916462" w:rsidTr="007A375A">
        <w:tc>
          <w:tcPr>
            <w:tcW w:w="709" w:type="dxa"/>
          </w:tcPr>
          <w:p w:rsidR="00DC0DBF" w:rsidRPr="000B43BF" w:rsidRDefault="000B43BF" w:rsidP="00DC0DBF">
            <w:pPr>
              <w:rPr>
                <w:rFonts w:asciiTheme="majorHAnsi" w:hAnsiTheme="majorHAnsi" w:cstheme="majorHAnsi"/>
                <w:b/>
                <w:sz w:val="24"/>
                <w:szCs w:val="24"/>
              </w:rPr>
            </w:pPr>
            <w:r w:rsidRPr="000B43BF">
              <w:rPr>
                <w:rFonts w:asciiTheme="majorHAnsi" w:hAnsiTheme="majorHAnsi" w:cstheme="majorHAnsi"/>
                <w:b/>
                <w:sz w:val="24"/>
                <w:szCs w:val="24"/>
              </w:rPr>
              <w:t>8.</w:t>
            </w:r>
          </w:p>
        </w:tc>
        <w:tc>
          <w:tcPr>
            <w:tcW w:w="9781" w:type="dxa"/>
          </w:tcPr>
          <w:p w:rsidR="00DC0DBF" w:rsidRPr="007A375A" w:rsidRDefault="000B43BF" w:rsidP="00DC0DBF">
            <w:pPr>
              <w:rPr>
                <w:rFonts w:asciiTheme="majorHAnsi" w:hAnsiTheme="majorHAnsi" w:cstheme="majorHAnsi"/>
                <w:b/>
                <w:sz w:val="24"/>
                <w:szCs w:val="24"/>
              </w:rPr>
            </w:pPr>
            <w:r w:rsidRPr="007A375A">
              <w:rPr>
                <w:rFonts w:asciiTheme="majorHAnsi" w:hAnsiTheme="majorHAnsi" w:cstheme="majorHAnsi"/>
                <w:b/>
                <w:sz w:val="24"/>
                <w:szCs w:val="24"/>
              </w:rPr>
              <w:t>REFERENCES</w:t>
            </w:r>
          </w:p>
        </w:tc>
      </w:tr>
      <w:tr w:rsidR="00DC0DBF" w:rsidRPr="00916462" w:rsidTr="007A375A">
        <w:tc>
          <w:tcPr>
            <w:tcW w:w="709" w:type="dxa"/>
          </w:tcPr>
          <w:p w:rsidR="00DC0DBF" w:rsidRPr="000B43BF" w:rsidRDefault="00DC0DBF" w:rsidP="00DC0DBF">
            <w:pPr>
              <w:rPr>
                <w:rFonts w:asciiTheme="majorHAnsi" w:hAnsiTheme="majorHAnsi" w:cstheme="majorHAnsi"/>
                <w:b/>
                <w:sz w:val="24"/>
                <w:szCs w:val="24"/>
              </w:rPr>
            </w:pPr>
          </w:p>
        </w:tc>
        <w:tc>
          <w:tcPr>
            <w:tcW w:w="9781" w:type="dxa"/>
          </w:tcPr>
          <w:p w:rsidR="00DC0DBF" w:rsidRPr="000B43BF" w:rsidRDefault="000B43BF" w:rsidP="00DC0DBF">
            <w:pPr>
              <w:rPr>
                <w:rFonts w:asciiTheme="majorHAnsi" w:hAnsiTheme="majorHAnsi" w:cstheme="majorHAnsi"/>
              </w:rPr>
            </w:pPr>
            <w:r>
              <w:rPr>
                <w:rFonts w:asciiTheme="majorHAnsi" w:hAnsiTheme="majorHAnsi" w:cstheme="majorHAnsi"/>
              </w:rPr>
              <w:t>See section (2.1)</w:t>
            </w:r>
          </w:p>
        </w:tc>
      </w:tr>
      <w:tr w:rsidR="00DC0DBF" w:rsidRPr="00916462" w:rsidTr="007A375A">
        <w:tc>
          <w:tcPr>
            <w:tcW w:w="709" w:type="dxa"/>
          </w:tcPr>
          <w:p w:rsidR="00DC0DBF" w:rsidRPr="000B43BF" w:rsidRDefault="000B43BF" w:rsidP="00DC0DBF">
            <w:pPr>
              <w:rPr>
                <w:rFonts w:asciiTheme="majorHAnsi" w:hAnsiTheme="majorHAnsi" w:cstheme="majorHAnsi"/>
                <w:b/>
                <w:sz w:val="24"/>
                <w:szCs w:val="24"/>
              </w:rPr>
            </w:pPr>
            <w:r w:rsidRPr="000B43BF">
              <w:rPr>
                <w:rFonts w:asciiTheme="majorHAnsi" w:hAnsiTheme="majorHAnsi" w:cstheme="majorHAnsi"/>
                <w:b/>
                <w:sz w:val="24"/>
                <w:szCs w:val="24"/>
              </w:rPr>
              <w:t>9.</w:t>
            </w:r>
          </w:p>
        </w:tc>
        <w:tc>
          <w:tcPr>
            <w:tcW w:w="9781" w:type="dxa"/>
          </w:tcPr>
          <w:p w:rsidR="00DC0DBF" w:rsidRPr="007A375A" w:rsidRDefault="000B43BF" w:rsidP="00DC0DBF">
            <w:pPr>
              <w:rPr>
                <w:rFonts w:asciiTheme="majorHAnsi" w:hAnsiTheme="majorHAnsi" w:cstheme="majorHAnsi"/>
                <w:b/>
                <w:sz w:val="24"/>
                <w:szCs w:val="24"/>
              </w:rPr>
            </w:pPr>
            <w:r w:rsidRPr="007A375A">
              <w:rPr>
                <w:rFonts w:asciiTheme="majorHAnsi" w:hAnsiTheme="majorHAnsi" w:cstheme="majorHAnsi"/>
                <w:b/>
                <w:sz w:val="24"/>
                <w:szCs w:val="24"/>
              </w:rPr>
              <w:t>ASSOCIATED FORMS</w:t>
            </w:r>
          </w:p>
        </w:tc>
      </w:tr>
      <w:tr w:rsidR="00DC0DBF" w:rsidRPr="00916462" w:rsidTr="007A375A">
        <w:tc>
          <w:tcPr>
            <w:tcW w:w="709" w:type="dxa"/>
          </w:tcPr>
          <w:p w:rsidR="00DC0DBF" w:rsidRPr="000B43BF" w:rsidRDefault="00DC0DBF" w:rsidP="00DC0DBF">
            <w:pPr>
              <w:rPr>
                <w:rFonts w:asciiTheme="majorHAnsi" w:hAnsiTheme="majorHAnsi" w:cstheme="majorHAnsi"/>
                <w:b/>
                <w:sz w:val="24"/>
                <w:szCs w:val="24"/>
              </w:rPr>
            </w:pPr>
          </w:p>
        </w:tc>
        <w:tc>
          <w:tcPr>
            <w:tcW w:w="9781" w:type="dxa"/>
          </w:tcPr>
          <w:p w:rsidR="00DC0DBF" w:rsidRPr="000B43BF" w:rsidRDefault="000B43BF" w:rsidP="00DC0DBF">
            <w:pPr>
              <w:rPr>
                <w:rFonts w:asciiTheme="majorHAnsi" w:hAnsiTheme="majorHAnsi" w:cstheme="majorHAnsi"/>
              </w:rPr>
            </w:pPr>
            <w:r w:rsidRPr="000B43BF">
              <w:rPr>
                <w:rFonts w:asciiTheme="majorHAnsi" w:hAnsiTheme="majorHAnsi" w:cstheme="majorHAnsi"/>
              </w:rPr>
              <w:t>None</w:t>
            </w:r>
          </w:p>
        </w:tc>
      </w:tr>
      <w:tr w:rsidR="00DC0DBF" w:rsidRPr="00916462" w:rsidTr="007A375A">
        <w:tc>
          <w:tcPr>
            <w:tcW w:w="709" w:type="dxa"/>
          </w:tcPr>
          <w:p w:rsidR="00DC0DBF" w:rsidRPr="000B43BF" w:rsidRDefault="000B43BF" w:rsidP="00DC0DBF">
            <w:pPr>
              <w:rPr>
                <w:rFonts w:asciiTheme="majorHAnsi" w:hAnsiTheme="majorHAnsi" w:cstheme="majorHAnsi"/>
                <w:b/>
                <w:sz w:val="24"/>
                <w:szCs w:val="24"/>
              </w:rPr>
            </w:pPr>
            <w:r w:rsidRPr="000B43BF">
              <w:rPr>
                <w:rFonts w:asciiTheme="majorHAnsi" w:hAnsiTheme="majorHAnsi" w:cstheme="majorHAnsi"/>
                <w:b/>
                <w:sz w:val="24"/>
                <w:szCs w:val="24"/>
              </w:rPr>
              <w:t>10.</w:t>
            </w:r>
          </w:p>
        </w:tc>
        <w:tc>
          <w:tcPr>
            <w:tcW w:w="9781" w:type="dxa"/>
          </w:tcPr>
          <w:p w:rsidR="00DC0DBF" w:rsidRPr="007A375A" w:rsidRDefault="000B43BF" w:rsidP="00DC0DBF">
            <w:pPr>
              <w:rPr>
                <w:rFonts w:asciiTheme="majorHAnsi" w:hAnsiTheme="majorHAnsi" w:cstheme="majorHAnsi"/>
                <w:b/>
                <w:sz w:val="24"/>
                <w:szCs w:val="24"/>
              </w:rPr>
            </w:pPr>
            <w:r w:rsidRPr="007A375A">
              <w:rPr>
                <w:rFonts w:asciiTheme="majorHAnsi" w:hAnsiTheme="majorHAnsi" w:cstheme="majorHAnsi"/>
                <w:b/>
                <w:sz w:val="24"/>
                <w:szCs w:val="24"/>
              </w:rPr>
              <w:t>APPENDICES</w:t>
            </w:r>
          </w:p>
        </w:tc>
      </w:tr>
      <w:tr w:rsidR="000B43BF" w:rsidRPr="00916462" w:rsidTr="007A375A">
        <w:tc>
          <w:tcPr>
            <w:tcW w:w="709" w:type="dxa"/>
          </w:tcPr>
          <w:p w:rsidR="000B43BF" w:rsidRDefault="000B43BF" w:rsidP="00DC0DBF">
            <w:pPr>
              <w:rPr>
                <w:rFonts w:asciiTheme="majorHAnsi" w:hAnsiTheme="majorHAnsi" w:cstheme="majorHAnsi"/>
                <w:sz w:val="24"/>
                <w:szCs w:val="24"/>
              </w:rPr>
            </w:pPr>
          </w:p>
        </w:tc>
        <w:tc>
          <w:tcPr>
            <w:tcW w:w="9781" w:type="dxa"/>
          </w:tcPr>
          <w:p w:rsidR="000B43BF" w:rsidRPr="000B43BF" w:rsidRDefault="000B43BF" w:rsidP="00DC0DBF">
            <w:pPr>
              <w:rPr>
                <w:rFonts w:asciiTheme="majorHAnsi" w:hAnsiTheme="majorHAnsi" w:cstheme="majorHAnsi"/>
              </w:rPr>
            </w:pPr>
            <w:r w:rsidRPr="000B43BF">
              <w:rPr>
                <w:rFonts w:asciiTheme="majorHAnsi" w:hAnsiTheme="majorHAnsi" w:cstheme="majorHAnsi"/>
              </w:rPr>
              <w:t>None</w:t>
            </w:r>
          </w:p>
        </w:tc>
      </w:tr>
    </w:tbl>
    <w:p w:rsidR="00DC0DBF" w:rsidRPr="0004035E" w:rsidRDefault="00DC0DBF" w:rsidP="00DC0DBF"/>
    <w:sectPr w:rsidR="00DC0DBF" w:rsidRPr="0004035E" w:rsidSect="00567134">
      <w:footerReference w:type="default" r:id="rId18"/>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188"/>
          <w:gridCol w:w="2482"/>
          <w:gridCol w:w="2268"/>
          <w:gridCol w:w="2977"/>
        </w:tblGrid>
        <w:tr w:rsidR="00567134" w:rsidTr="00567134">
          <w:tc>
            <w:tcPr>
              <w:tcW w:w="3188" w:type="dxa"/>
            </w:tcPr>
            <w:p w:rsidR="00567134" w:rsidRDefault="00567134" w:rsidP="007A375A">
              <w:pPr>
                <w:pStyle w:val="Footer"/>
                <w:jc w:val="right"/>
              </w:pPr>
              <w:r>
                <w:t xml:space="preserve">Document Number: </w:t>
              </w:r>
              <w:r w:rsidR="007A375A">
                <w:t>OPSP02</w:t>
              </w:r>
            </w:p>
          </w:tc>
          <w:tc>
            <w:tcPr>
              <w:tcW w:w="2482" w:type="dxa"/>
            </w:tcPr>
            <w:p w:rsidR="00567134" w:rsidRDefault="00567134" w:rsidP="00567134">
              <w:pPr>
                <w:pStyle w:val="Footer"/>
                <w:jc w:val="right"/>
              </w:pPr>
              <w:r>
                <w:t>Issue Date:</w:t>
              </w:r>
            </w:p>
          </w:tc>
          <w:tc>
            <w:tcPr>
              <w:tcW w:w="2268" w:type="dxa"/>
            </w:tcPr>
            <w:p w:rsidR="00567134" w:rsidRDefault="0001248E" w:rsidP="00567134">
              <w:pPr>
                <w:pStyle w:val="Footer"/>
                <w:jc w:val="right"/>
              </w:pPr>
              <w:r>
                <w:t xml:space="preserve">SEPT </w:t>
              </w:r>
              <w:r w:rsidR="00567134">
                <w:t>2023</w:t>
              </w:r>
            </w:p>
          </w:tc>
          <w:tc>
            <w:tcPr>
              <w:tcW w:w="2977" w:type="dxa"/>
            </w:tcPr>
            <w:p w:rsidR="00567134" w:rsidRDefault="00567134" w:rsidP="00567134">
              <w:pPr>
                <w:pStyle w:val="Footer"/>
                <w:jc w:val="right"/>
              </w:pPr>
              <w:r>
                <w:t>Version Number: 01</w:t>
              </w:r>
            </w:p>
          </w:tc>
        </w:tr>
        <w:tr w:rsidR="00567134" w:rsidTr="00567134">
          <w:tc>
            <w:tcPr>
              <w:tcW w:w="3188" w:type="dxa"/>
            </w:tcPr>
            <w:p w:rsidR="00567134" w:rsidRDefault="00567134" w:rsidP="00567134">
              <w:pPr>
                <w:pStyle w:val="Footer"/>
                <w:jc w:val="right"/>
              </w:pPr>
              <w:r w:rsidRPr="003C6C02">
                <w:t>Status:</w:t>
              </w:r>
              <w:r w:rsidRPr="003F2075">
                <w:t xml:space="preserve"> </w:t>
              </w:r>
              <w:r w:rsidRPr="003F2075">
                <w:rPr>
                  <w:b/>
                  <w:bCs/>
                </w:rPr>
                <w:t>FINAL</w:t>
              </w:r>
            </w:p>
          </w:tc>
          <w:tc>
            <w:tcPr>
              <w:tcW w:w="2482" w:type="dxa"/>
            </w:tcPr>
            <w:p w:rsidR="00567134" w:rsidRDefault="00567134" w:rsidP="00567134">
              <w:pPr>
                <w:pStyle w:val="Footer"/>
                <w:jc w:val="right"/>
              </w:pPr>
              <w:r w:rsidRPr="003C6C02">
                <w:t>Next Review Date:</w:t>
              </w:r>
            </w:p>
          </w:tc>
          <w:tc>
            <w:tcPr>
              <w:tcW w:w="2268" w:type="dxa"/>
            </w:tcPr>
            <w:p w:rsidR="00567134" w:rsidRDefault="0001248E" w:rsidP="00567134">
              <w:pPr>
                <w:pStyle w:val="Footer"/>
                <w:jc w:val="right"/>
              </w:pPr>
              <w:r>
                <w:t xml:space="preserve">SEPT </w:t>
              </w:r>
              <w:r w:rsidR="007A375A">
                <w:t>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E71BC8">
                <w:rPr>
                  <w:noProof/>
                </w:rPr>
                <w:t>5</w:t>
              </w:r>
              <w:r>
                <w:rPr>
                  <w:noProof/>
                </w:rPr>
                <w:fldChar w:fldCharType="end"/>
              </w:r>
            </w:p>
          </w:tc>
        </w:tr>
        <w:tr w:rsidR="00567134" w:rsidTr="00567134">
          <w:tc>
            <w:tcPr>
              <w:tcW w:w="3188" w:type="dxa"/>
            </w:tcPr>
            <w:p w:rsidR="00567134" w:rsidRPr="003C6C02" w:rsidRDefault="00567134" w:rsidP="00567134">
              <w:pPr>
                <w:pStyle w:val="Footer"/>
                <w:jc w:val="right"/>
              </w:pPr>
              <w:r>
                <w:t>Linked to Policy Number:</w:t>
              </w:r>
            </w:p>
          </w:tc>
          <w:tc>
            <w:tcPr>
              <w:tcW w:w="2482" w:type="dxa"/>
            </w:tcPr>
            <w:p w:rsidR="00567134" w:rsidRPr="003C6C02" w:rsidRDefault="00567134" w:rsidP="00567134">
              <w:pPr>
                <w:pStyle w:val="Footer"/>
                <w:jc w:val="right"/>
              </w:pP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15420"/>
    <w:multiLevelType w:val="hybridMultilevel"/>
    <w:tmpl w:val="204EB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B038A8"/>
    <w:multiLevelType w:val="hybridMultilevel"/>
    <w:tmpl w:val="D88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879CA"/>
    <w:multiLevelType w:val="hybridMultilevel"/>
    <w:tmpl w:val="B5180944"/>
    <w:lvl w:ilvl="0" w:tplc="4AF4E1D2">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E757E6B"/>
    <w:multiLevelType w:val="hybridMultilevel"/>
    <w:tmpl w:val="3EF0F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F383B"/>
    <w:multiLevelType w:val="hybridMultilevel"/>
    <w:tmpl w:val="F4AE7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760A8E"/>
    <w:multiLevelType w:val="hybridMultilevel"/>
    <w:tmpl w:val="2FC29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C23090"/>
    <w:multiLevelType w:val="hybridMultilevel"/>
    <w:tmpl w:val="989E7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2"/>
  </w:num>
  <w:num w:numId="6">
    <w:abstractNumId w:val="6"/>
  </w:num>
  <w:num w:numId="7">
    <w:abstractNumId w:val="1"/>
  </w:num>
  <w:num w:numId="8">
    <w:abstractNumId w:val="10"/>
  </w:num>
  <w:num w:numId="9">
    <w:abstractNumId w:val="1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1248E"/>
    <w:rsid w:val="0004035E"/>
    <w:rsid w:val="000B43BF"/>
    <w:rsid w:val="000E0801"/>
    <w:rsid w:val="00100728"/>
    <w:rsid w:val="001F5489"/>
    <w:rsid w:val="0020426A"/>
    <w:rsid w:val="00241F22"/>
    <w:rsid w:val="002F3F7F"/>
    <w:rsid w:val="003106C0"/>
    <w:rsid w:val="003E4F49"/>
    <w:rsid w:val="00501024"/>
    <w:rsid w:val="00506337"/>
    <w:rsid w:val="00567134"/>
    <w:rsid w:val="0057331D"/>
    <w:rsid w:val="00573F37"/>
    <w:rsid w:val="00607A1B"/>
    <w:rsid w:val="00632BAB"/>
    <w:rsid w:val="0064090F"/>
    <w:rsid w:val="00702354"/>
    <w:rsid w:val="007316FB"/>
    <w:rsid w:val="00747D37"/>
    <w:rsid w:val="00774F27"/>
    <w:rsid w:val="007A375A"/>
    <w:rsid w:val="007D42BB"/>
    <w:rsid w:val="008C0343"/>
    <w:rsid w:val="00916462"/>
    <w:rsid w:val="00933E73"/>
    <w:rsid w:val="009F0A11"/>
    <w:rsid w:val="00A141DC"/>
    <w:rsid w:val="00A33B77"/>
    <w:rsid w:val="00A524AC"/>
    <w:rsid w:val="00AD3B15"/>
    <w:rsid w:val="00B11D7E"/>
    <w:rsid w:val="00B576D4"/>
    <w:rsid w:val="00B76AA6"/>
    <w:rsid w:val="00BA7C54"/>
    <w:rsid w:val="00BD7E93"/>
    <w:rsid w:val="00BF14E4"/>
    <w:rsid w:val="00C34558"/>
    <w:rsid w:val="00C570BA"/>
    <w:rsid w:val="00C97D62"/>
    <w:rsid w:val="00CC7D8C"/>
    <w:rsid w:val="00CD2C84"/>
    <w:rsid w:val="00CE4B28"/>
    <w:rsid w:val="00D250DB"/>
    <w:rsid w:val="00D56F6F"/>
    <w:rsid w:val="00D570E8"/>
    <w:rsid w:val="00DC0DBF"/>
    <w:rsid w:val="00E62660"/>
    <w:rsid w:val="00E71BC8"/>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customStyle="1" w:styleId="Default">
    <w:name w:val="Default"/>
    <w:rsid w:val="00933E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6462"/>
    <w:rPr>
      <w:color w:val="0563C1" w:themeColor="hyperlink"/>
      <w:u w:val="single"/>
    </w:rPr>
  </w:style>
  <w:style w:type="paragraph" w:styleId="NoSpacing">
    <w:name w:val="No Spacing"/>
    <w:uiPriority w:val="1"/>
    <w:qFormat/>
    <w:rsid w:val="000B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hyperlink" Target="https://www.gov.uk/government/publications/independent-special-schools-and-colleges" TargetMode="External"/><Relationship Id="rId2" Type="http://schemas.openxmlformats.org/officeDocument/2006/relationships/numbering" Target="numbering.xml"/><Relationship Id="rId16" Type="http://schemas.openxmlformats.org/officeDocument/2006/relationships/hyperlink" Target="https://www.legislation.gov.uk/uksi/2020/446/contents/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8/made" TargetMode="External"/><Relationship Id="rId5" Type="http://schemas.openxmlformats.org/officeDocument/2006/relationships/webSettings" Target="webSettings.xml"/><Relationship Id="rId15" Type="http://schemas.openxmlformats.org/officeDocument/2006/relationships/hyperlink" Target="https://www.legislation.gov.uk/uksi/2017/37/made" TargetMode="External"/><Relationship Id="rId10" Type="http://schemas.openxmlformats.org/officeDocument/2006/relationships/hyperlink" Target="https://www.gov.uk/government/publications/school-admissions-code--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pga/2011/21/contents/enacted" TargetMode="External"/><Relationship Id="rId14" Type="http://schemas.openxmlformats.org/officeDocument/2006/relationships/hyperlink" Target="https://www.legislation.gov.uk/uksi/2008/309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82A3-4CE7-4342-8916-BC701CA8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8</cp:revision>
  <dcterms:created xsi:type="dcterms:W3CDTF">2023-07-04T14:54:00Z</dcterms:created>
  <dcterms:modified xsi:type="dcterms:W3CDTF">2023-09-27T14:54:00Z</dcterms:modified>
</cp:coreProperties>
</file>